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50"/>
        <w:ind w:left="104" w:right="2991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sz w:val="18"/>
        </w:rPr>
        <w:t>African Journal of Business </w:t>
      </w:r>
      <w:r>
        <w:rPr>
          <w:rFonts w:ascii="Arial"/>
          <w:spacing w:val="-3"/>
          <w:sz w:val="18"/>
        </w:rPr>
        <w:t>Management </w:t>
      </w:r>
      <w:r>
        <w:rPr>
          <w:rFonts w:ascii="Arial"/>
          <w:sz w:val="18"/>
        </w:rPr>
        <w:t>Vol. 5(21), pp. </w:t>
      </w:r>
      <w:r>
        <w:rPr>
          <w:rFonts w:ascii="Arial"/>
          <w:spacing w:val="-3"/>
          <w:sz w:val="18"/>
        </w:rPr>
        <w:t>8552-8557, 23 </w:t>
      </w:r>
      <w:r>
        <w:rPr>
          <w:rFonts w:ascii="Arial"/>
          <w:sz w:val="18"/>
        </w:rPr>
        <w:t>September,</w:t>
      </w:r>
      <w:r>
        <w:rPr>
          <w:rFonts w:ascii="Arial"/>
          <w:spacing w:val="46"/>
          <w:sz w:val="18"/>
        </w:rPr>
        <w:t> </w:t>
      </w:r>
      <w:r>
        <w:rPr>
          <w:rFonts w:ascii="Arial"/>
          <w:sz w:val="18"/>
        </w:rPr>
        <w:t>2011</w:t>
      </w:r>
      <w:r>
        <w:rPr>
          <w:rFonts w:ascii="Arial"/>
          <w:spacing w:val="-1"/>
          <w:w w:val="101"/>
          <w:sz w:val="18"/>
        </w:rPr>
        <w:t> </w:t>
      </w:r>
      <w:r>
        <w:rPr>
          <w:rFonts w:ascii="Arial"/>
          <w:sz w:val="18"/>
        </w:rPr>
        <w:t>Available online </w:t>
      </w:r>
      <w:r>
        <w:rPr>
          <w:rFonts w:ascii="Arial"/>
          <w:spacing w:val="-3"/>
          <w:sz w:val="18"/>
        </w:rPr>
        <w:t>at</w:t>
      </w:r>
      <w:r>
        <w:rPr>
          <w:rFonts w:ascii="Arial"/>
          <w:spacing w:val="-12"/>
          <w:sz w:val="18"/>
        </w:rPr>
        <w:t> </w:t>
      </w:r>
      <w:hyperlink r:id="rId5">
        <w:r>
          <w:rPr>
            <w:rFonts w:ascii="Arial"/>
            <w:sz w:val="18"/>
          </w:rPr>
          <w:t>http://www.academicjournals.org/AJBM</w:t>
        </w:r>
      </w:hyperlink>
    </w:p>
    <w:p>
      <w:pPr>
        <w:spacing w:line="206" w:lineRule="exact" w:before="0"/>
        <w:ind w:left="104" w:right="2991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spacing w:val="-1"/>
          <w:sz w:val="18"/>
        </w:rPr>
        <w:t>DOI:</w:t>
      </w:r>
      <w:r>
        <w:rPr>
          <w:rFonts w:ascii="Arial"/>
          <w:spacing w:val="37"/>
          <w:sz w:val="18"/>
        </w:rPr>
        <w:t> </w:t>
      </w:r>
      <w:r>
        <w:rPr>
          <w:rFonts w:ascii="Arial"/>
          <w:spacing w:val="-2"/>
          <w:sz w:val="18"/>
        </w:rPr>
        <w:t>10.5897/AJBM11.1016</w:t>
      </w:r>
    </w:p>
    <w:p>
      <w:pPr>
        <w:spacing w:line="207" w:lineRule="exact" w:before="0"/>
        <w:ind w:left="104" w:right="2991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/>
          <w:sz w:val="18"/>
        </w:rPr>
        <w:t>ISSN 1993-8233 ©2011 Academic</w:t>
      </w:r>
      <w:r>
        <w:rPr>
          <w:rFonts w:ascii="Arial" w:hAnsi="Arial"/>
          <w:spacing w:val="-11"/>
          <w:sz w:val="18"/>
        </w:rPr>
        <w:t> </w:t>
      </w:r>
      <w:r>
        <w:rPr>
          <w:rFonts w:ascii="Arial" w:hAnsi="Arial"/>
          <w:sz w:val="18"/>
        </w:rPr>
        <w:t>Journals</w:t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3"/>
        <w:rPr>
          <w:rFonts w:ascii="Arial" w:hAnsi="Arial" w:cs="Arial" w:eastAsia="Arial"/>
          <w:sz w:val="24"/>
          <w:szCs w:val="24"/>
        </w:rPr>
      </w:pPr>
    </w:p>
    <w:p>
      <w:pPr>
        <w:spacing w:before="0"/>
        <w:ind w:left="104" w:right="2991" w:firstLine="0"/>
        <w:jc w:val="left"/>
        <w:rPr>
          <w:rFonts w:ascii="Arial" w:hAnsi="Arial" w:cs="Arial" w:eastAsia="Arial"/>
          <w:sz w:val="28"/>
          <w:szCs w:val="28"/>
        </w:rPr>
      </w:pPr>
      <w:r>
        <w:rPr>
          <w:rFonts w:ascii="Arial"/>
          <w:i/>
          <w:sz w:val="28"/>
        </w:rPr>
        <w:t>Full Length Research</w:t>
      </w:r>
      <w:r>
        <w:rPr>
          <w:rFonts w:ascii="Arial"/>
          <w:i/>
          <w:spacing w:val="-20"/>
          <w:sz w:val="28"/>
        </w:rPr>
        <w:t> </w:t>
      </w:r>
      <w:r>
        <w:rPr>
          <w:rFonts w:ascii="Arial"/>
          <w:i/>
          <w:sz w:val="28"/>
        </w:rPr>
        <w:t>Paper</w:t>
      </w:r>
      <w:r>
        <w:rPr>
          <w:rFonts w:ascii="Arial"/>
          <w:sz w:val="28"/>
        </w:rPr>
      </w:r>
    </w:p>
    <w:p>
      <w:pPr>
        <w:spacing w:before="223"/>
        <w:ind w:left="666" w:right="683" w:firstLine="0"/>
        <w:jc w:val="center"/>
        <w:rPr>
          <w:rFonts w:ascii="Arial" w:hAnsi="Arial" w:cs="Arial" w:eastAsia="Arial"/>
          <w:sz w:val="40"/>
          <w:szCs w:val="40"/>
        </w:rPr>
      </w:pPr>
      <w:r>
        <w:rPr>
          <w:rFonts w:ascii="Arial"/>
          <w:b/>
          <w:sz w:val="40"/>
        </w:rPr>
        <w:t>A linear price model for insect-damaged</w:t>
      </w:r>
      <w:r>
        <w:rPr>
          <w:rFonts w:ascii="Arial"/>
          <w:b/>
          <w:spacing w:val="-21"/>
          <w:sz w:val="40"/>
        </w:rPr>
        <w:t> </w:t>
      </w:r>
      <w:r>
        <w:rPr>
          <w:rFonts w:ascii="Arial"/>
          <w:b/>
          <w:sz w:val="40"/>
        </w:rPr>
        <w:t>industrial</w:t>
      </w:r>
      <w:r>
        <w:rPr>
          <w:rFonts w:ascii="Arial"/>
          <w:b/>
          <w:w w:val="99"/>
          <w:sz w:val="40"/>
        </w:rPr>
        <w:t> </w:t>
      </w:r>
      <w:r>
        <w:rPr>
          <w:rFonts w:ascii="Arial"/>
          <w:b/>
          <w:sz w:val="40"/>
        </w:rPr>
        <w:t>roundwood: A case study in Northeastern</w:t>
      </w:r>
      <w:r>
        <w:rPr>
          <w:rFonts w:ascii="Arial"/>
          <w:b/>
          <w:spacing w:val="-26"/>
          <w:sz w:val="40"/>
        </w:rPr>
        <w:t> </w:t>
      </w:r>
      <w:r>
        <w:rPr>
          <w:rFonts w:ascii="Arial"/>
          <w:b/>
          <w:sz w:val="40"/>
        </w:rPr>
        <w:t>Turkey</w:t>
      </w:r>
      <w:r>
        <w:rPr>
          <w:rFonts w:ascii="Arial"/>
          <w:sz w:val="40"/>
        </w:rPr>
      </w:r>
    </w:p>
    <w:p>
      <w:pPr>
        <w:spacing w:before="197"/>
        <w:ind w:left="666" w:right="683" w:firstLine="0"/>
        <w:jc w:val="center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b/>
          <w:sz w:val="24"/>
        </w:rPr>
        <w:t>Atakan ÖZTÜRK</w:t>
      </w:r>
      <w:r>
        <w:rPr>
          <w:rFonts w:ascii="Arial" w:hAnsi="Arial"/>
          <w:b/>
          <w:position w:val="11"/>
          <w:sz w:val="16"/>
        </w:rPr>
        <w:t>1</w:t>
      </w:r>
      <w:r>
        <w:rPr>
          <w:rFonts w:ascii="Arial" w:hAnsi="Arial"/>
          <w:b/>
          <w:sz w:val="24"/>
        </w:rPr>
        <w:t>*,Bekir KAYACAN</w:t>
      </w:r>
      <w:r>
        <w:rPr>
          <w:rFonts w:ascii="Arial" w:hAnsi="Arial"/>
          <w:b/>
          <w:position w:val="11"/>
          <w:sz w:val="16"/>
        </w:rPr>
        <w:t>2 </w:t>
      </w:r>
      <w:r>
        <w:rPr>
          <w:rFonts w:ascii="Arial" w:hAnsi="Arial"/>
          <w:b/>
          <w:sz w:val="24"/>
        </w:rPr>
        <w:t>and </w:t>
      </w:r>
      <w:r>
        <w:rPr>
          <w:rFonts w:ascii="Arial" w:hAnsi="Arial"/>
          <w:b/>
          <w:sz w:val="24"/>
        </w:rPr>
        <w:t>Kemal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DİKİLİTAŞ</w:t>
      </w:r>
      <w:r>
        <w:rPr>
          <w:rFonts w:ascii="Arial" w:hAnsi="Arial"/>
          <w:b/>
          <w:position w:val="11"/>
          <w:sz w:val="16"/>
        </w:rPr>
        <w:t>3</w:t>
      </w:r>
      <w:r>
        <w:rPr>
          <w:rFonts w:ascii="Arial" w:hAnsi="Arial"/>
          <w:sz w:val="16"/>
        </w:rPr>
      </w:r>
    </w:p>
    <w:p>
      <w:pPr>
        <w:pStyle w:val="BodyText"/>
        <w:spacing w:line="247" w:lineRule="exact" w:before="198"/>
        <w:ind w:left="666" w:right="681"/>
        <w:jc w:val="center"/>
      </w:pPr>
      <w:r>
        <w:rPr>
          <w:position w:val="10"/>
          <w:sz w:val="13"/>
        </w:rPr>
        <w:t>1</w:t>
      </w:r>
      <w:r>
        <w:rPr/>
        <w:t>Faculty </w:t>
      </w:r>
      <w:r>
        <w:rPr>
          <w:spacing w:val="-4"/>
        </w:rPr>
        <w:t>of </w:t>
      </w:r>
      <w:r>
        <w:rPr/>
        <w:t>Forestry, Artvin Çoruh University, Artvin,</w:t>
      </w:r>
      <w:r>
        <w:rPr>
          <w:spacing w:val="-6"/>
        </w:rPr>
        <w:t> </w:t>
      </w:r>
      <w:r>
        <w:rPr/>
        <w:t>Turkey.</w:t>
      </w:r>
    </w:p>
    <w:p>
      <w:pPr>
        <w:pStyle w:val="BodyText"/>
        <w:spacing w:line="230" w:lineRule="exact"/>
        <w:ind w:left="666" w:right="679"/>
        <w:jc w:val="center"/>
      </w:pPr>
      <w:r>
        <w:rPr>
          <w:position w:val="10"/>
          <w:sz w:val="13"/>
        </w:rPr>
        <w:t>2</w:t>
      </w:r>
      <w:r>
        <w:rPr/>
        <w:t>Faculty </w:t>
      </w:r>
      <w:r>
        <w:rPr>
          <w:spacing w:val="-4"/>
        </w:rPr>
        <w:t>of </w:t>
      </w:r>
      <w:r>
        <w:rPr/>
        <w:t>Forestry, Düzce University, Düzce,</w:t>
      </w:r>
      <w:r>
        <w:rPr>
          <w:spacing w:val="-2"/>
        </w:rPr>
        <w:t> </w:t>
      </w:r>
      <w:r>
        <w:rPr/>
        <w:t>Turkey.</w:t>
      </w:r>
    </w:p>
    <w:p>
      <w:pPr>
        <w:pStyle w:val="BodyText"/>
        <w:spacing w:line="247" w:lineRule="exact"/>
        <w:ind w:left="666" w:right="680"/>
        <w:jc w:val="center"/>
      </w:pPr>
      <w:r>
        <w:rPr>
          <w:position w:val="10"/>
          <w:sz w:val="13"/>
        </w:rPr>
        <w:t>3</w:t>
      </w:r>
      <w:r>
        <w:rPr/>
        <w:t>Artvin Regional Directorate </w:t>
      </w:r>
      <w:r>
        <w:rPr>
          <w:spacing w:val="-4"/>
        </w:rPr>
        <w:t>of </w:t>
      </w:r>
      <w:r>
        <w:rPr/>
        <w:t>Forestry, Artvin,</w:t>
      </w:r>
      <w:r>
        <w:rPr>
          <w:spacing w:val="-5"/>
        </w:rPr>
        <w:t> </w:t>
      </w:r>
      <w:r>
        <w:rPr/>
        <w:t>Turkey.</w:t>
      </w:r>
    </w:p>
    <w:p>
      <w:pPr>
        <w:spacing w:before="186"/>
        <w:ind w:left="664" w:right="683" w:firstLine="0"/>
        <w:jc w:val="center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Accepted 27 June,</w:t>
      </w:r>
      <w:r>
        <w:rPr>
          <w:rFonts w:ascii="Arial"/>
          <w:spacing w:val="-13"/>
          <w:sz w:val="16"/>
        </w:rPr>
        <w:t> </w:t>
      </w:r>
      <w:r>
        <w:rPr>
          <w:rFonts w:ascii="Arial"/>
          <w:sz w:val="16"/>
        </w:rPr>
        <w:t>2011</w:t>
      </w:r>
    </w:p>
    <w:p>
      <w:pPr>
        <w:spacing w:line="240" w:lineRule="auto" w:before="4"/>
        <w:rPr>
          <w:rFonts w:ascii="Arial" w:hAnsi="Arial" w:cs="Arial" w:eastAsia="Arial"/>
          <w:sz w:val="15"/>
          <w:szCs w:val="15"/>
        </w:rPr>
      </w:pPr>
    </w:p>
    <w:p>
      <w:pPr>
        <w:pStyle w:val="Heading1"/>
        <w:spacing w:line="240" w:lineRule="auto"/>
        <w:ind w:left="464" w:right="508"/>
        <w:jc w:val="both"/>
        <w:rPr>
          <w:b w:val="0"/>
          <w:bCs w:val="0"/>
        </w:rPr>
      </w:pPr>
      <w:r>
        <w:rPr/>
        <w:t>Wood production has been among the most important objectives in forest resource management for</w:t>
      </w:r>
      <w:r>
        <w:rPr>
          <w:spacing w:val="39"/>
        </w:rPr>
        <w:t> </w:t>
      </w:r>
      <w:r>
        <w:rPr/>
        <w:t>a</w:t>
      </w:r>
      <w:r>
        <w:rPr>
          <w:w w:val="100"/>
        </w:rPr>
        <w:t> </w:t>
      </w:r>
      <w:r>
        <w:rPr/>
        <w:t>long</w:t>
      </w:r>
      <w:r>
        <w:rPr>
          <w:spacing w:val="22"/>
        </w:rPr>
        <w:t> </w:t>
      </w:r>
      <w:r>
        <w:rPr/>
        <w:t>time.</w:t>
      </w:r>
      <w:r>
        <w:rPr>
          <w:spacing w:val="17"/>
        </w:rPr>
        <w:t> </w:t>
      </w:r>
      <w:r>
        <w:rPr/>
        <w:t>Therefore,</w:t>
      </w:r>
      <w:r>
        <w:rPr>
          <w:spacing w:val="22"/>
        </w:rPr>
        <w:t> </w:t>
      </w:r>
      <w:r>
        <w:rPr/>
        <w:t>quality</w:t>
      </w:r>
      <w:r>
        <w:rPr>
          <w:spacing w:val="19"/>
        </w:rPr>
        <w:t> </w:t>
      </w:r>
      <w:r>
        <w:rPr/>
        <w:t>and</w:t>
      </w:r>
      <w:r>
        <w:rPr>
          <w:spacing w:val="22"/>
        </w:rPr>
        <w:t> </w:t>
      </w:r>
      <w:r>
        <w:rPr/>
        <w:t>quantity</w:t>
      </w:r>
      <w:r>
        <w:rPr>
          <w:spacing w:val="19"/>
        </w:rPr>
        <w:t> </w:t>
      </w:r>
      <w:r>
        <w:rPr/>
        <w:t>losses,</w:t>
      </w:r>
      <w:r>
        <w:rPr>
          <w:spacing w:val="22"/>
        </w:rPr>
        <w:t> </w:t>
      </w:r>
      <w:r>
        <w:rPr/>
        <w:t>especially</w:t>
      </w:r>
      <w:r>
        <w:rPr>
          <w:spacing w:val="19"/>
        </w:rPr>
        <w:t> </w:t>
      </w:r>
      <w:r>
        <w:rPr/>
        <w:t>caused</w:t>
      </w:r>
      <w:r>
        <w:rPr>
          <w:spacing w:val="22"/>
        </w:rPr>
        <w:t> </w:t>
      </w:r>
      <w:r>
        <w:rPr/>
        <w:t>by</w:t>
      </w:r>
      <w:r>
        <w:rPr>
          <w:spacing w:val="19"/>
        </w:rPr>
        <w:t> </w:t>
      </w:r>
      <w:r>
        <w:rPr/>
        <w:t>bark</w:t>
      </w:r>
      <w:r>
        <w:rPr>
          <w:spacing w:val="19"/>
        </w:rPr>
        <w:t> </w:t>
      </w:r>
      <w:r>
        <w:rPr/>
        <w:t>beetles</w:t>
      </w:r>
      <w:r>
        <w:rPr>
          <w:spacing w:val="19"/>
        </w:rPr>
        <w:t> </w:t>
      </w:r>
      <w:r>
        <w:rPr/>
        <w:t>in</w:t>
      </w:r>
      <w:r>
        <w:rPr>
          <w:spacing w:val="22"/>
        </w:rPr>
        <w:t> </w:t>
      </w:r>
      <w:r>
        <w:rPr/>
        <w:t>growing</w:t>
      </w:r>
      <w:r>
        <w:rPr>
          <w:spacing w:val="22"/>
        </w:rPr>
        <w:t> </w:t>
      </w:r>
      <w:r>
        <w:rPr/>
        <w:t>stock</w:t>
      </w:r>
      <w:r>
        <w:rPr>
          <w:w w:val="100"/>
        </w:rPr>
        <w:t> </w:t>
      </w:r>
      <w:r>
        <w:rPr/>
        <w:t>and wood based products, have been a prominent problem. In recent years, Artvin State</w:t>
      </w:r>
      <w:r>
        <w:rPr>
          <w:spacing w:val="55"/>
        </w:rPr>
        <w:t> </w:t>
      </w:r>
      <w:r>
        <w:rPr/>
        <w:t>Forest</w:t>
      </w:r>
      <w:r>
        <w:rPr>
          <w:w w:val="100"/>
        </w:rPr>
        <w:t> </w:t>
      </w:r>
      <w:r>
        <w:rPr/>
        <w:t>Enterprise in northeastern Turkey has been affected by bark beetles, which caused serious</w:t>
      </w:r>
      <w:r>
        <w:rPr>
          <w:spacing w:val="6"/>
        </w:rPr>
        <w:t> </w:t>
      </w:r>
      <w:r>
        <w:rPr/>
        <w:t>destruction</w:t>
      </w:r>
      <w:r>
        <w:rPr>
          <w:w w:val="100"/>
        </w:rPr>
        <w:t> </w:t>
      </w:r>
      <w:r>
        <w:rPr/>
        <w:t>in</w:t>
      </w:r>
      <w:r>
        <w:rPr>
          <w:spacing w:val="38"/>
        </w:rPr>
        <w:t> </w:t>
      </w:r>
      <w:r>
        <w:rPr/>
        <w:t>forests.</w:t>
      </w:r>
      <w:r>
        <w:rPr>
          <w:spacing w:val="35"/>
        </w:rPr>
        <w:t> </w:t>
      </w:r>
      <w:r>
        <w:rPr/>
        <w:t>This</w:t>
      </w:r>
      <w:r>
        <w:rPr>
          <w:spacing w:val="35"/>
        </w:rPr>
        <w:t> </w:t>
      </w:r>
      <w:r>
        <w:rPr/>
        <w:t>study</w:t>
      </w:r>
      <w:r>
        <w:rPr>
          <w:spacing w:val="35"/>
        </w:rPr>
        <w:t> </w:t>
      </w:r>
      <w:r>
        <w:rPr/>
        <w:t>aims</w:t>
      </w:r>
      <w:r>
        <w:rPr>
          <w:spacing w:val="35"/>
        </w:rPr>
        <w:t> </w:t>
      </w:r>
      <w:r>
        <w:rPr/>
        <w:t>to</w:t>
      </w:r>
      <w:r>
        <w:rPr>
          <w:spacing w:val="36"/>
        </w:rPr>
        <w:t> </w:t>
      </w:r>
      <w:r>
        <w:rPr/>
        <w:t>estimate</w:t>
      </w:r>
      <w:r>
        <w:rPr>
          <w:spacing w:val="36"/>
        </w:rPr>
        <w:t> </w:t>
      </w:r>
      <w:r>
        <w:rPr/>
        <w:t>the</w:t>
      </w:r>
      <w:r>
        <w:rPr>
          <w:spacing w:val="35"/>
        </w:rPr>
        <w:t> </w:t>
      </w:r>
      <w:r>
        <w:rPr/>
        <w:t>parameters</w:t>
      </w:r>
      <w:r>
        <w:rPr>
          <w:spacing w:val="35"/>
        </w:rPr>
        <w:t> </w:t>
      </w:r>
      <w:r>
        <w:rPr/>
        <w:t>of</w:t>
      </w:r>
      <w:r>
        <w:rPr>
          <w:spacing w:val="37"/>
        </w:rPr>
        <w:t> </w:t>
      </w:r>
      <w:r>
        <w:rPr/>
        <w:t>sales</w:t>
      </w:r>
      <w:r>
        <w:rPr>
          <w:spacing w:val="37"/>
        </w:rPr>
        <w:t> </w:t>
      </w:r>
      <w:r>
        <w:rPr/>
        <w:t>prices</w:t>
      </w:r>
      <w:r>
        <w:rPr>
          <w:spacing w:val="35"/>
        </w:rPr>
        <w:t> </w:t>
      </w:r>
      <w:r>
        <w:rPr/>
        <w:t>of</w:t>
      </w:r>
      <w:r>
        <w:rPr>
          <w:spacing w:val="38"/>
        </w:rPr>
        <w:t> </w:t>
      </w:r>
      <w:r>
        <w:rPr/>
        <w:t>insect-damaged</w:t>
      </w:r>
      <w:r>
        <w:rPr>
          <w:spacing w:val="40"/>
        </w:rPr>
        <w:t> </w:t>
      </w:r>
      <w:r>
        <w:rPr/>
        <w:t>industrial</w:t>
      </w:r>
      <w:r>
        <w:rPr>
          <w:w w:val="100"/>
        </w:rPr>
        <w:t> </w:t>
      </w:r>
      <w:r>
        <w:rPr/>
        <w:t>roundwood of spruce (</w:t>
      </w:r>
      <w:r>
        <w:rPr>
          <w:rFonts w:ascii="Arial"/>
          <w:i/>
        </w:rPr>
        <w:t>Picea orientalis </w:t>
      </w:r>
      <w:r>
        <w:rPr/>
        <w:t>(L.) Link.) species in Artvin State Forest Enterprise. To this </w:t>
      </w:r>
      <w:r>
        <w:rPr>
          <w:spacing w:val="31"/>
        </w:rPr>
        <w:t> </w:t>
      </w:r>
      <w:r>
        <w:rPr>
          <w:spacing w:val="-3"/>
        </w:rPr>
        <w:t>end,</w:t>
      </w:r>
      <w:r>
        <w:rPr>
          <w:w w:val="100"/>
        </w:rPr>
        <w:t> </w:t>
      </w:r>
      <w:r>
        <w:rPr/>
        <w:t>a linear price model is constructed in which the sales price is deemed to be a function of: 1) number</w:t>
      </w:r>
      <w:r>
        <w:rPr>
          <w:spacing w:val="4"/>
        </w:rPr>
        <w:t> </w:t>
      </w:r>
      <w:r>
        <w:rPr/>
        <w:t>of</w:t>
      </w:r>
      <w:r>
        <w:rPr>
          <w:w w:val="100"/>
        </w:rPr>
        <w:t> </w:t>
      </w:r>
      <w:r>
        <w:rPr/>
        <w:t>bidders</w:t>
      </w:r>
      <w:r>
        <w:rPr>
          <w:spacing w:val="15"/>
        </w:rPr>
        <w:t> </w:t>
      </w:r>
      <w:r>
        <w:rPr/>
        <w:t>in</w:t>
      </w:r>
      <w:r>
        <w:rPr>
          <w:spacing w:val="18"/>
        </w:rPr>
        <w:t> </w:t>
      </w:r>
      <w:r>
        <w:rPr/>
        <w:t>an</w:t>
      </w:r>
      <w:r>
        <w:rPr>
          <w:spacing w:val="18"/>
        </w:rPr>
        <w:t> </w:t>
      </w:r>
      <w:r>
        <w:rPr/>
        <w:t>auction,</w:t>
      </w:r>
      <w:r>
        <w:rPr>
          <w:spacing w:val="21"/>
        </w:rPr>
        <w:t> </w:t>
      </w:r>
      <w:r>
        <w:rPr/>
        <w:t>2)</w:t>
      </w:r>
      <w:r>
        <w:rPr>
          <w:spacing w:val="17"/>
        </w:rPr>
        <w:t> </w:t>
      </w:r>
      <w:r>
        <w:rPr/>
        <w:t>year</w:t>
      </w:r>
      <w:r>
        <w:rPr>
          <w:spacing w:val="20"/>
        </w:rPr>
        <w:t> </w:t>
      </w:r>
      <w:r>
        <w:rPr/>
        <w:t>after</w:t>
      </w:r>
      <w:r>
        <w:rPr>
          <w:spacing w:val="15"/>
        </w:rPr>
        <w:t> </w:t>
      </w:r>
      <w:r>
        <w:rPr/>
        <w:t>harvest,</w:t>
      </w:r>
      <w:r>
        <w:rPr>
          <w:spacing w:val="20"/>
        </w:rPr>
        <w:t> </w:t>
      </w:r>
      <w:r>
        <w:rPr/>
        <w:t>3)</w:t>
      </w:r>
      <w:r>
        <w:rPr>
          <w:spacing w:val="17"/>
        </w:rPr>
        <w:t> </w:t>
      </w:r>
      <w:r>
        <w:rPr/>
        <w:t>appraised</w:t>
      </w:r>
      <w:r>
        <w:rPr>
          <w:spacing w:val="18"/>
        </w:rPr>
        <w:t> </w:t>
      </w:r>
      <w:r>
        <w:rPr/>
        <w:t>value</w:t>
      </w:r>
      <w:r>
        <w:rPr>
          <w:spacing w:val="15"/>
        </w:rPr>
        <w:t> </w:t>
      </w:r>
      <w:r>
        <w:rPr/>
        <w:t>and</w:t>
      </w:r>
      <w:r>
        <w:rPr>
          <w:spacing w:val="21"/>
        </w:rPr>
        <w:t> </w:t>
      </w:r>
      <w:r>
        <w:rPr/>
        <w:t>4)</w:t>
      </w:r>
      <w:r>
        <w:rPr>
          <w:spacing w:val="17"/>
        </w:rPr>
        <w:t> </w:t>
      </w:r>
      <w:r>
        <w:rPr/>
        <w:t>insect</w:t>
      </w:r>
      <w:r>
        <w:rPr>
          <w:spacing w:val="18"/>
        </w:rPr>
        <w:t> </w:t>
      </w:r>
      <w:r>
        <w:rPr/>
        <w:t>damage</w:t>
      </w:r>
      <w:r>
        <w:rPr>
          <w:spacing w:val="15"/>
        </w:rPr>
        <w:t> </w:t>
      </w:r>
      <w:r>
        <w:rPr/>
        <w:t>level.</w:t>
      </w:r>
      <w:r>
        <w:rPr>
          <w:spacing w:val="14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3"/>
        </w:rPr>
        <w:t>model</w:t>
      </w:r>
      <w:r>
        <w:rPr>
          <w:w w:val="100"/>
        </w:rPr>
        <w:t> </w:t>
      </w:r>
      <w:r>
        <w:rPr/>
        <w:t>explained, statistically significantly, almost 80% of the variation in sales prices of</w:t>
      </w:r>
      <w:r>
        <w:rPr>
          <w:spacing w:val="7"/>
        </w:rPr>
        <w:t> </w:t>
      </w:r>
      <w:r>
        <w:rPr/>
        <w:t>insect-damaged</w:t>
      </w:r>
      <w:r>
        <w:rPr>
          <w:w w:val="100"/>
        </w:rPr>
        <w:t> </w:t>
      </w:r>
      <w:r>
        <w:rPr/>
        <w:t>timber in the</w:t>
      </w:r>
      <w:r>
        <w:rPr>
          <w:spacing w:val="-6"/>
        </w:rPr>
        <w:t> </w:t>
      </w:r>
      <w:r>
        <w:rPr/>
        <w:t>region.</w:t>
      </w:r>
      <w:r>
        <w:rPr>
          <w:b w:val="0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BodyText"/>
        <w:spacing w:line="240" w:lineRule="auto"/>
        <w:ind w:left="464" w:right="0"/>
        <w:jc w:val="both"/>
      </w:pPr>
      <w:r>
        <w:rPr>
          <w:rFonts w:ascii="Arial"/>
          <w:b/>
        </w:rPr>
        <w:t>Key words: </w:t>
      </w:r>
      <w:r>
        <w:rPr/>
        <w:t>Auction sale, spruce log, sales price, </w:t>
      </w:r>
      <w:r>
        <w:rPr>
          <w:spacing w:val="-3"/>
        </w:rPr>
        <w:t>Artvin </w:t>
      </w:r>
      <w:r>
        <w:rPr/>
        <w:t>State Forest Enterprise.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20"/>
          <w:szCs w:val="20"/>
        </w:rPr>
      </w:pPr>
    </w:p>
    <w:p>
      <w:pPr>
        <w:pStyle w:val="Heading1"/>
        <w:spacing w:line="240" w:lineRule="auto"/>
        <w:ind w:right="2991"/>
        <w:jc w:val="left"/>
        <w:rPr>
          <w:b w:val="0"/>
          <w:bCs w:val="0"/>
        </w:rPr>
      </w:pPr>
      <w:r>
        <w:rPr/>
        <w:t>INTRODUCTION</w:t>
      </w:r>
      <w:r>
        <w:rPr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13"/>
          <w:szCs w:val="13"/>
        </w:rPr>
      </w:pPr>
    </w:p>
    <w:p>
      <w:pPr>
        <w:spacing w:after="0" w:line="240" w:lineRule="auto"/>
        <w:rPr>
          <w:rFonts w:ascii="Arial" w:hAnsi="Arial" w:cs="Arial" w:eastAsia="Arial"/>
          <w:sz w:val="13"/>
          <w:szCs w:val="13"/>
        </w:rPr>
        <w:sectPr>
          <w:type w:val="continuous"/>
          <w:pgSz w:w="12240" w:h="15840"/>
          <w:pgMar w:top="520" w:bottom="280" w:left="760" w:right="600"/>
        </w:sectPr>
      </w:pPr>
    </w:p>
    <w:p>
      <w:pPr>
        <w:pStyle w:val="BodyText"/>
        <w:spacing w:line="240" w:lineRule="auto" w:before="75"/>
        <w:ind w:right="1"/>
        <w:jc w:val="both"/>
      </w:pPr>
      <w:r>
        <w:rPr/>
        <w:t>Wood production has been among the most</w:t>
      </w:r>
      <w:r>
        <w:rPr>
          <w:spacing w:val="-10"/>
        </w:rPr>
        <w:t> </w:t>
      </w:r>
      <w:r>
        <w:rPr/>
        <w:t>important</w:t>
      </w:r>
      <w:r>
        <w:rPr>
          <w:w w:val="100"/>
        </w:rPr>
        <w:t> </w:t>
      </w:r>
      <w:r>
        <w:rPr/>
        <w:t>objectives in the management </w:t>
      </w:r>
      <w:r>
        <w:rPr>
          <w:spacing w:val="-4"/>
        </w:rPr>
        <w:t>of </w:t>
      </w:r>
      <w:r>
        <w:rPr/>
        <w:t>Turkish forest</w:t>
      </w:r>
      <w:r>
        <w:rPr>
          <w:spacing w:val="31"/>
        </w:rPr>
        <w:t> </w:t>
      </w:r>
      <w:r>
        <w:rPr/>
        <w:t>resources</w:t>
      </w:r>
      <w:r>
        <w:rPr>
          <w:w w:val="100"/>
        </w:rPr>
        <w:t> </w:t>
      </w:r>
      <w:r>
        <w:rPr/>
        <w:t>for decades. Therefore, quality and quantity losses</w:t>
      </w:r>
      <w:r>
        <w:rPr>
          <w:spacing w:val="19"/>
        </w:rPr>
        <w:t> </w:t>
      </w:r>
      <w:r>
        <w:rPr/>
        <w:t>in</w:t>
      </w:r>
      <w:r>
        <w:rPr>
          <w:w w:val="100"/>
        </w:rPr>
        <w:t> </w:t>
      </w:r>
      <w:r>
        <w:rPr/>
        <w:t>growing</w:t>
      </w:r>
      <w:r>
        <w:rPr>
          <w:spacing w:val="38"/>
        </w:rPr>
        <w:t> </w:t>
      </w:r>
      <w:r>
        <w:rPr/>
        <w:t>stock</w:t>
      </w:r>
      <w:r>
        <w:rPr>
          <w:spacing w:val="35"/>
        </w:rPr>
        <w:t> </w:t>
      </w:r>
      <w:r>
        <w:rPr/>
        <w:t>and</w:t>
      </w:r>
      <w:r>
        <w:rPr>
          <w:spacing w:val="35"/>
        </w:rPr>
        <w:t> </w:t>
      </w:r>
      <w:r>
        <w:rPr/>
        <w:t>timber</w:t>
      </w:r>
      <w:r>
        <w:rPr>
          <w:spacing w:val="36"/>
        </w:rPr>
        <w:t> </w:t>
      </w:r>
      <w:r>
        <w:rPr/>
        <w:t>products</w:t>
      </w:r>
      <w:r>
        <w:rPr>
          <w:spacing w:val="30"/>
        </w:rPr>
        <w:t> </w:t>
      </w:r>
      <w:r>
        <w:rPr/>
        <w:t>have</w:t>
      </w:r>
      <w:r>
        <w:rPr>
          <w:spacing w:val="35"/>
        </w:rPr>
        <w:t> </w:t>
      </w:r>
      <w:r>
        <w:rPr/>
        <w:t>been</w:t>
      </w:r>
      <w:r>
        <w:rPr>
          <w:spacing w:val="34"/>
        </w:rPr>
        <w:t> </w:t>
      </w:r>
      <w:r>
        <w:rPr/>
        <w:t>a</w:t>
      </w:r>
      <w:r>
        <w:rPr>
          <w:spacing w:val="34"/>
        </w:rPr>
        <w:t> </w:t>
      </w:r>
      <w:r>
        <w:rPr/>
        <w:t>promi-</w:t>
      </w:r>
      <w:r>
        <w:rPr>
          <w:w w:val="100"/>
        </w:rPr>
        <w:t> </w:t>
      </w:r>
      <w:r>
        <w:rPr/>
        <w:t>nent problem. Not surprisingly, such value losses</w:t>
      </w:r>
      <w:r>
        <w:rPr>
          <w:spacing w:val="38"/>
        </w:rPr>
        <w:t> </w:t>
      </w:r>
      <w:r>
        <w:rPr/>
        <w:t>affect</w:t>
      </w:r>
      <w:r>
        <w:rPr>
          <w:w w:val="100"/>
        </w:rPr>
        <w:t> </w:t>
      </w:r>
      <w:r>
        <w:rPr/>
        <w:t>marketing activities as well as long term</w:t>
      </w:r>
      <w:r>
        <w:rPr>
          <w:spacing w:val="11"/>
        </w:rPr>
        <w:t> </w:t>
      </w:r>
      <w:r>
        <w:rPr/>
        <w:t>forest</w:t>
      </w:r>
      <w:r>
        <w:rPr>
          <w:w w:val="100"/>
        </w:rPr>
        <w:t> </w:t>
      </w:r>
      <w:r>
        <w:rPr/>
        <w:t>management plans and</w:t>
      </w:r>
      <w:r>
        <w:rPr>
          <w:spacing w:val="-11"/>
        </w:rPr>
        <w:t> </w:t>
      </w:r>
      <w:r>
        <w:rPr/>
        <w:t>decisions.</w:t>
      </w:r>
    </w:p>
    <w:p>
      <w:pPr>
        <w:pStyle w:val="BodyText"/>
        <w:spacing w:line="240" w:lineRule="auto" w:before="1"/>
        <w:ind w:right="0" w:firstLine="182"/>
        <w:jc w:val="both"/>
      </w:pPr>
      <w:r>
        <w:rPr/>
        <w:t>In recent years, Artvin State Forest Enterprise (SFE)</w:t>
      </w:r>
      <w:r>
        <w:rPr>
          <w:spacing w:val="15"/>
        </w:rPr>
        <w:t> </w:t>
      </w:r>
      <w:r>
        <w:rPr/>
        <w:t>in</w:t>
      </w:r>
      <w:r>
        <w:rPr>
          <w:spacing w:val="-2"/>
          <w:w w:val="100"/>
        </w:rPr>
        <w:t> </w:t>
      </w:r>
      <w:r>
        <w:rPr/>
        <w:t>northeastern</w:t>
      </w:r>
      <w:r>
        <w:rPr>
          <w:spacing w:val="55"/>
        </w:rPr>
        <w:t> </w:t>
      </w:r>
      <w:r>
        <w:rPr/>
        <w:t>Turkey</w:t>
      </w:r>
      <w:r>
        <w:rPr>
          <w:spacing w:val="55"/>
        </w:rPr>
        <w:t> </w:t>
      </w:r>
      <w:r>
        <w:rPr/>
        <w:t>has</w:t>
      </w:r>
      <w:r>
        <w:rPr>
          <w:spacing w:val="55"/>
        </w:rPr>
        <w:t> </w:t>
      </w:r>
      <w:r>
        <w:rPr/>
        <w:t>suffered</w:t>
      </w:r>
      <w:r>
        <w:rPr>
          <w:spacing w:val="55"/>
        </w:rPr>
        <w:t> </w:t>
      </w:r>
      <w:r>
        <w:rPr/>
        <w:t>grave</w:t>
      </w:r>
      <w:r>
        <w:rPr>
          <w:spacing w:val="55"/>
        </w:rPr>
        <w:t> </w:t>
      </w:r>
      <w:r>
        <w:rPr/>
        <w:t>bark</w:t>
      </w:r>
      <w:r>
        <w:rPr>
          <w:spacing w:val="2"/>
        </w:rPr>
        <w:t> </w:t>
      </w:r>
      <w:r>
        <w:rPr/>
        <w:t>beetle</w:t>
      </w:r>
      <w:r>
        <w:rPr>
          <w:w w:val="100"/>
        </w:rPr>
        <w:t> </w:t>
      </w:r>
      <w:r>
        <w:rPr/>
        <w:t>destruction in pure or </w:t>
      </w:r>
      <w:r>
        <w:rPr>
          <w:spacing w:val="-3"/>
        </w:rPr>
        <w:t>somewhat </w:t>
      </w:r>
      <w:r>
        <w:rPr/>
        <w:t>mixed spruce forests.</w:t>
      </w:r>
      <w:r>
        <w:rPr>
          <w:spacing w:val="23"/>
        </w:rPr>
        <w:t> </w:t>
      </w:r>
      <w:r>
        <w:rPr/>
        <w:t>At</w:t>
      </w:r>
      <w:r>
        <w:rPr>
          <w:w w:val="100"/>
        </w:rPr>
        <w:t> </w:t>
      </w:r>
      <w:r>
        <w:rPr/>
        <w:t>first, destruction was caused by the Great Spruce</w:t>
      </w:r>
      <w:r>
        <w:rPr>
          <w:spacing w:val="5"/>
        </w:rPr>
        <w:t> </w:t>
      </w:r>
      <w:r>
        <w:rPr/>
        <w:t>bark</w:t>
      </w:r>
      <w:r>
        <w:rPr>
          <w:w w:val="100"/>
        </w:rPr>
        <w:t> </w:t>
      </w:r>
      <w:r>
        <w:rPr/>
        <w:t>beetle</w:t>
      </w:r>
      <w:r>
        <w:rPr>
          <w:spacing w:val="55"/>
        </w:rPr>
        <w:t> </w:t>
      </w:r>
      <w:r>
        <w:rPr/>
        <w:t>(Dendroctonus</w:t>
      </w:r>
      <w:r>
        <w:rPr>
          <w:spacing w:val="55"/>
        </w:rPr>
        <w:t> </w:t>
      </w:r>
      <w:r>
        <w:rPr/>
        <w:t>micans</w:t>
      </w:r>
      <w:r>
        <w:rPr>
          <w:spacing w:val="55"/>
        </w:rPr>
        <w:t> </w:t>
      </w:r>
      <w:r>
        <w:rPr/>
        <w:t>(Kug.))</w:t>
      </w:r>
      <w:r>
        <w:rPr>
          <w:spacing w:val="55"/>
        </w:rPr>
        <w:t> </w:t>
      </w:r>
      <w:r>
        <w:rPr/>
        <w:t>in</w:t>
      </w:r>
      <w:r>
        <w:rPr>
          <w:spacing w:val="55"/>
        </w:rPr>
        <w:t> </w:t>
      </w:r>
      <w:r>
        <w:rPr>
          <w:spacing w:val="-3"/>
        </w:rPr>
        <w:t>1970s,</w:t>
      </w:r>
      <w:r>
        <w:rPr>
          <w:spacing w:val="34"/>
        </w:rPr>
        <w:t> </w:t>
      </w:r>
      <w:r>
        <w:rPr/>
        <w:t>and</w:t>
      </w:r>
      <w:r>
        <w:rPr>
          <w:w w:val="100"/>
        </w:rPr>
        <w:t> </w:t>
      </w:r>
      <w:r>
        <w:rPr/>
        <w:t>exacerbated</w:t>
      </w:r>
      <w:r>
        <w:rPr>
          <w:spacing w:val="55"/>
        </w:rPr>
        <w:t> </w:t>
      </w:r>
      <w:r>
        <w:rPr/>
        <w:t>by</w:t>
      </w:r>
      <w:r>
        <w:rPr>
          <w:spacing w:val="55"/>
        </w:rPr>
        <w:t> </w:t>
      </w:r>
      <w:r>
        <w:rPr/>
        <w:t>European</w:t>
      </w:r>
      <w:r>
        <w:rPr>
          <w:spacing w:val="55"/>
        </w:rPr>
        <w:t> </w:t>
      </w:r>
      <w:r>
        <w:rPr/>
        <w:t>spruce</w:t>
      </w:r>
      <w:r>
        <w:rPr>
          <w:spacing w:val="55"/>
        </w:rPr>
        <w:t> </w:t>
      </w:r>
      <w:r>
        <w:rPr/>
        <w:t>bark</w:t>
      </w:r>
      <w:r>
        <w:rPr>
          <w:spacing w:val="55"/>
        </w:rPr>
        <w:t> </w:t>
      </w:r>
      <w:r>
        <w:rPr/>
        <w:t>beetle</w:t>
      </w:r>
      <w:r>
        <w:rPr>
          <w:spacing w:val="54"/>
        </w:rPr>
        <w:t> </w:t>
      </w:r>
      <w:r>
        <w:rPr/>
        <w:t>(</w:t>
      </w:r>
      <w:r>
        <w:rPr>
          <w:rFonts w:ascii="Arial"/>
          <w:i/>
        </w:rPr>
        <w:t>Ips</w:t>
      </w:r>
      <w:r>
        <w:rPr>
          <w:rFonts w:ascii="Arial"/>
          <w:i/>
          <w:w w:val="100"/>
        </w:rPr>
        <w:t> </w:t>
      </w:r>
      <w:r>
        <w:rPr>
          <w:rFonts w:ascii="Arial"/>
          <w:i/>
        </w:rPr>
        <w:t>typographus </w:t>
      </w:r>
      <w:r>
        <w:rPr/>
        <w:t>(L.)) and six-spined engraver beetle</w:t>
      </w:r>
      <w:r>
        <w:rPr>
          <w:spacing w:val="5"/>
        </w:rPr>
        <w:t> </w:t>
      </w:r>
      <w:r>
        <w:rPr/>
        <w:t>(Ips</w:t>
      </w:r>
      <w:r>
        <w:rPr>
          <w:w w:val="100"/>
        </w:rPr>
        <w:t> </w:t>
      </w:r>
      <w:r>
        <w:rPr/>
        <w:t>sexdentatus  (Boern))  damages  in  recent  years   </w:t>
      </w:r>
      <w:r>
        <w:rPr>
          <w:spacing w:val="35"/>
        </w:rPr>
        <w:t> </w:t>
      </w:r>
      <w:r>
        <w:rPr/>
        <w:t>parti-</w:t>
      </w:r>
    </w:p>
    <w:p>
      <w:pPr>
        <w:pStyle w:val="BodyText"/>
        <w:spacing w:line="230" w:lineRule="exact" w:before="4"/>
        <w:ind w:right="3"/>
        <w:jc w:val="both"/>
      </w:pPr>
      <w:r>
        <w:rPr/>
        <w:t>cularly in Hatila Valley National Park and nearby</w:t>
      </w:r>
      <w:r>
        <w:rPr>
          <w:spacing w:val="47"/>
        </w:rPr>
        <w:t> </w:t>
      </w:r>
      <w:r>
        <w:rPr/>
        <w:t>forested</w:t>
      </w:r>
      <w:r>
        <w:rPr>
          <w:w w:val="100"/>
        </w:rPr>
        <w:t> </w:t>
      </w:r>
      <w:r>
        <w:rPr/>
        <w:t>areas. Consequently, a total </w:t>
      </w:r>
      <w:r>
        <w:rPr>
          <w:spacing w:val="-4"/>
        </w:rPr>
        <w:t>of </w:t>
      </w:r>
      <w:r>
        <w:rPr/>
        <w:t>more than 500 000 m</w:t>
      </w:r>
      <w:r>
        <w:rPr>
          <w:position w:val="10"/>
          <w:sz w:val="13"/>
        </w:rPr>
        <w:t>3</w:t>
      </w:r>
      <w:r>
        <w:rPr>
          <w:spacing w:val="18"/>
          <w:position w:val="10"/>
          <w:sz w:val="13"/>
        </w:rPr>
        <w:t> </w:t>
      </w:r>
      <w:r>
        <w:rPr>
          <w:spacing w:val="-4"/>
        </w:rPr>
        <w:t>of</w:t>
      </w:r>
      <w:r>
        <w:rPr>
          <w:w w:val="100"/>
        </w:rPr>
        <w:t> </w:t>
      </w:r>
      <w:r>
        <w:rPr/>
        <w:t>growing stock in Artvin SFE </w:t>
      </w:r>
      <w:r>
        <w:rPr>
          <w:spacing w:val="-3"/>
        </w:rPr>
        <w:t>was </w:t>
      </w:r>
      <w:r>
        <w:rPr/>
        <w:t>seriously damaged</w:t>
      </w:r>
      <w:r>
        <w:rPr>
          <w:spacing w:val="8"/>
        </w:rPr>
        <w:t> </w:t>
      </w:r>
      <w:r>
        <w:rPr/>
        <w:t>bet-</w:t>
      </w:r>
      <w:r>
        <w:rPr>
          <w:w w:val="100"/>
        </w:rPr>
        <w:t> </w:t>
      </w:r>
      <w:r>
        <w:rPr/>
        <w:t>ween 2001 and 2006 (Aksu, 2007; Öztürk et </w:t>
      </w:r>
      <w:r>
        <w:rPr>
          <w:spacing w:val="-3"/>
        </w:rPr>
        <w:t>al.,</w:t>
      </w:r>
      <w:r>
        <w:rPr/>
        <w:t> 2008).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19"/>
          <w:szCs w:val="19"/>
        </w:rPr>
      </w:pPr>
    </w:p>
    <w:p>
      <w:pPr>
        <w:spacing w:line="20" w:lineRule="exact"/>
        <w:ind w:left="11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62.75pt;height:.75pt;mso-position-horizontal-relative:char;mso-position-vertical-relative:line" coordorigin="0,0" coordsize="3255,15">
            <v:group style="position:absolute;left:8;top:8;width:3240;height:2" coordorigin="8,8" coordsize="3240,2">
              <v:shape style="position:absolute;left:8;top:8;width:3240;height:2" coordorigin="8,8" coordsize="3240,0" path="m8,7l3248,7e" filled="false" stroked="true" strokeweight=".7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56"/>
        <w:ind w:left="104" w:right="4" w:firstLine="0"/>
        <w:jc w:val="both"/>
        <w:rPr>
          <w:rFonts w:ascii="Arial" w:hAnsi="Arial" w:cs="Arial" w:eastAsia="Arial"/>
          <w:sz w:val="18"/>
          <w:szCs w:val="18"/>
        </w:rPr>
      </w:pPr>
      <w:r>
        <w:rPr>
          <w:rFonts w:ascii="Arial"/>
          <w:sz w:val="18"/>
        </w:rPr>
        <w:t>*Corresponding author. E-mail:</w:t>
      </w:r>
      <w:r>
        <w:rPr>
          <w:rFonts w:ascii="Arial"/>
          <w:sz w:val="18"/>
        </w:rPr>
        <w:t> </w:t>
      </w:r>
      <w:hyperlink r:id="rId6">
        <w:r>
          <w:rPr>
            <w:rFonts w:ascii="Arial"/>
            <w:sz w:val="18"/>
          </w:rPr>
          <w:t>atak08@hotmail.com.</w:t>
        </w:r>
      </w:hyperlink>
      <w:r>
        <w:rPr>
          <w:rFonts w:ascii="Arial"/>
          <w:sz w:val="18"/>
        </w:rPr>
        <w:t> Tel: +</w:t>
      </w:r>
      <w:r>
        <w:rPr>
          <w:rFonts w:ascii="Arial"/>
          <w:spacing w:val="18"/>
          <w:sz w:val="18"/>
        </w:rPr>
        <w:t> </w:t>
      </w:r>
      <w:r>
        <w:rPr>
          <w:rFonts w:ascii="Arial"/>
          <w:sz w:val="18"/>
        </w:rPr>
        <w:t>90</w:t>
      </w:r>
      <w:r>
        <w:rPr>
          <w:rFonts w:ascii="Arial"/>
          <w:w w:val="101"/>
          <w:sz w:val="18"/>
        </w:rPr>
        <w:t> </w:t>
      </w:r>
      <w:r>
        <w:rPr>
          <w:rFonts w:ascii="Arial"/>
          <w:sz w:val="18"/>
        </w:rPr>
        <w:t>466 215 10 </w:t>
      </w:r>
      <w:r>
        <w:rPr>
          <w:rFonts w:ascii="Arial"/>
          <w:spacing w:val="-3"/>
          <w:sz w:val="18"/>
        </w:rPr>
        <w:t>35. Fax: </w:t>
      </w:r>
      <w:r>
        <w:rPr>
          <w:rFonts w:ascii="Arial"/>
          <w:sz w:val="18"/>
        </w:rPr>
        <w:t>+ 90 466 215 10</w:t>
      </w:r>
      <w:r>
        <w:rPr>
          <w:rFonts w:ascii="Arial"/>
          <w:spacing w:val="18"/>
          <w:sz w:val="18"/>
        </w:rPr>
        <w:t> </w:t>
      </w:r>
      <w:r>
        <w:rPr>
          <w:rFonts w:ascii="Arial"/>
          <w:sz w:val="18"/>
        </w:rPr>
        <w:t>34.</w:t>
      </w:r>
    </w:p>
    <w:p>
      <w:pPr>
        <w:pStyle w:val="BodyText"/>
        <w:spacing w:line="240" w:lineRule="auto" w:before="75"/>
        <w:ind w:right="110" w:firstLine="182"/>
        <w:jc w:val="both"/>
      </w:pPr>
      <w:r>
        <w:rPr/>
        <w:br w:type="column"/>
      </w:r>
      <w:r>
        <w:rPr/>
        <w:t>Quality and</w:t>
      </w:r>
      <w:r>
        <w:rPr>
          <w:spacing w:val="55"/>
        </w:rPr>
        <w:t> </w:t>
      </w:r>
      <w:r>
        <w:rPr/>
        <w:t>quantity losses are</w:t>
      </w:r>
      <w:r>
        <w:rPr>
          <w:spacing w:val="55"/>
        </w:rPr>
        <w:t> </w:t>
      </w:r>
      <w:r>
        <w:rPr/>
        <w:t>seen</w:t>
      </w:r>
      <w:r>
        <w:rPr>
          <w:spacing w:val="55"/>
        </w:rPr>
        <w:t> </w:t>
      </w:r>
      <w:r>
        <w:rPr/>
        <w:t>in</w:t>
      </w:r>
      <w:r>
        <w:rPr>
          <w:spacing w:val="15"/>
        </w:rPr>
        <w:t> </w:t>
      </w:r>
      <w:r>
        <w:rPr/>
        <w:t>industrial</w:t>
      </w:r>
      <w:r>
        <w:rPr>
          <w:w w:val="100"/>
        </w:rPr>
        <w:t> </w:t>
      </w:r>
      <w:r>
        <w:rPr/>
        <w:t>roundwood, produced depending on insect damage.</w:t>
      </w:r>
      <w:r>
        <w:rPr>
          <w:spacing w:val="54"/>
        </w:rPr>
        <w:t> </w:t>
      </w:r>
      <w:r>
        <w:rPr/>
        <w:t>This</w:t>
      </w:r>
      <w:r>
        <w:rPr>
          <w:w w:val="100"/>
        </w:rPr>
        <w:t> </w:t>
      </w:r>
      <w:r>
        <w:rPr/>
        <w:t>damage</w:t>
      </w:r>
      <w:r>
        <w:rPr>
          <w:spacing w:val="55"/>
        </w:rPr>
        <w:t> </w:t>
      </w:r>
      <w:r>
        <w:rPr/>
        <w:t>negatively</w:t>
      </w:r>
      <w:r>
        <w:rPr>
          <w:spacing w:val="55"/>
        </w:rPr>
        <w:t> </w:t>
      </w:r>
      <w:r>
        <w:rPr/>
        <w:t>affects</w:t>
      </w:r>
      <w:r>
        <w:rPr>
          <w:spacing w:val="55"/>
        </w:rPr>
        <w:t> </w:t>
      </w:r>
      <w:r>
        <w:rPr/>
        <w:t>the</w:t>
      </w:r>
      <w:r>
        <w:rPr>
          <w:spacing w:val="55"/>
        </w:rPr>
        <w:t> </w:t>
      </w:r>
      <w:r>
        <w:rPr/>
        <w:t>industrial</w:t>
      </w:r>
      <w:r>
        <w:rPr>
          <w:spacing w:val="6"/>
        </w:rPr>
        <w:t> </w:t>
      </w:r>
      <w:r>
        <w:rPr>
          <w:spacing w:val="-3"/>
        </w:rPr>
        <w:t>roundwood</w:t>
      </w:r>
      <w:r>
        <w:rPr>
          <w:w w:val="100"/>
        </w:rPr>
        <w:t> </w:t>
      </w:r>
      <w:r>
        <w:rPr/>
        <w:t>marketing activities of SFEs</w:t>
      </w:r>
      <w:r>
        <w:rPr>
          <w:rFonts w:ascii="Arial" w:hAnsi="Arial"/>
        </w:rPr>
        <w:t>. Thus, Dikilitaş </w:t>
      </w:r>
      <w:r>
        <w:rPr/>
        <w:t>and</w:t>
      </w:r>
      <w:r>
        <w:rPr>
          <w:spacing w:val="18"/>
        </w:rPr>
        <w:t> </w:t>
      </w:r>
      <w:r>
        <w:rPr/>
        <w:t>Öztürk</w:t>
      </w:r>
      <w:r>
        <w:rPr>
          <w:w w:val="100"/>
        </w:rPr>
        <w:t> </w:t>
      </w:r>
      <w:r>
        <w:rPr/>
        <w:t>(2005) state that customers tend not to buy or buy</w:t>
      </w:r>
      <w:r>
        <w:rPr>
          <w:spacing w:val="36"/>
        </w:rPr>
        <w:t> </w:t>
      </w:r>
      <w:r>
        <w:rPr/>
        <w:t>less</w:t>
      </w:r>
      <w:r>
        <w:rPr>
          <w:w w:val="100"/>
        </w:rPr>
        <w:t> </w:t>
      </w:r>
      <w:r>
        <w:rPr/>
        <w:t>roundwood</w:t>
      </w:r>
      <w:r>
        <w:rPr>
          <w:spacing w:val="55"/>
        </w:rPr>
        <w:t> </w:t>
      </w:r>
      <w:r>
        <w:rPr/>
        <w:t>products</w:t>
      </w:r>
      <w:r>
        <w:rPr>
          <w:spacing w:val="55"/>
        </w:rPr>
        <w:t> </w:t>
      </w:r>
      <w:r>
        <w:rPr/>
        <w:t>harvested</w:t>
      </w:r>
      <w:r>
        <w:rPr>
          <w:spacing w:val="55"/>
        </w:rPr>
        <w:t> </w:t>
      </w:r>
      <w:r>
        <w:rPr/>
        <w:t>from</w:t>
      </w:r>
      <w:r>
        <w:rPr>
          <w:spacing w:val="25"/>
        </w:rPr>
        <w:t> </w:t>
      </w:r>
      <w:r>
        <w:rPr/>
        <w:t>insect-damaged</w:t>
      </w:r>
      <w:r>
        <w:rPr>
          <w:w w:val="100"/>
        </w:rPr>
        <w:t> </w:t>
      </w:r>
      <w:r>
        <w:rPr/>
        <w:t>forest areas in Artvin SFE. In other </w:t>
      </w:r>
      <w:r>
        <w:rPr>
          <w:spacing w:val="-3"/>
        </w:rPr>
        <w:t>words, </w:t>
      </w:r>
      <w:r>
        <w:rPr/>
        <w:t>because</w:t>
      </w:r>
      <w:r>
        <w:rPr>
          <w:spacing w:val="37"/>
        </w:rPr>
        <w:t> </w:t>
      </w:r>
      <w:r>
        <w:rPr/>
        <w:t>of</w:t>
      </w:r>
      <w:r>
        <w:rPr>
          <w:w w:val="100"/>
        </w:rPr>
        <w:t> </w:t>
      </w:r>
      <w:r>
        <w:rPr/>
        <w:t>insect damages, there have been important</w:t>
      </w:r>
      <w:r>
        <w:rPr>
          <w:spacing w:val="35"/>
        </w:rPr>
        <w:t> </w:t>
      </w:r>
      <w:r>
        <w:rPr/>
        <w:t>marketing</w:t>
      </w:r>
      <w:r>
        <w:rPr>
          <w:w w:val="100"/>
        </w:rPr>
        <w:t> </w:t>
      </w:r>
      <w:r>
        <w:rPr/>
        <w:t>problems in especially spruce logs and other</w:t>
      </w:r>
      <w:r>
        <w:rPr>
          <w:spacing w:val="19"/>
        </w:rPr>
        <w:t> </w:t>
      </w:r>
      <w:r>
        <w:rPr/>
        <w:t>industrial</w:t>
      </w:r>
      <w:r>
        <w:rPr>
          <w:w w:val="100"/>
        </w:rPr>
        <w:t> </w:t>
      </w:r>
      <w:r>
        <w:rPr/>
        <w:t>roundwood in general. Within this period, there has</w:t>
      </w:r>
      <w:r>
        <w:rPr>
          <w:spacing w:val="19"/>
        </w:rPr>
        <w:t> </w:t>
      </w:r>
      <w:r>
        <w:rPr/>
        <w:t>been</w:t>
      </w:r>
      <w:r>
        <w:rPr>
          <w:w w:val="100"/>
        </w:rPr>
        <w:t> </w:t>
      </w:r>
      <w:r>
        <w:rPr/>
        <w:t>image</w:t>
      </w:r>
      <w:r>
        <w:rPr>
          <w:spacing w:val="55"/>
        </w:rPr>
        <w:t> </w:t>
      </w:r>
      <w:r>
        <w:rPr/>
        <w:t>problem,</w:t>
      </w:r>
      <w:r>
        <w:rPr>
          <w:spacing w:val="55"/>
        </w:rPr>
        <w:t> </w:t>
      </w:r>
      <w:r>
        <w:rPr/>
        <w:t>as</w:t>
      </w:r>
      <w:r>
        <w:rPr>
          <w:spacing w:val="55"/>
        </w:rPr>
        <w:t> </w:t>
      </w:r>
      <w:r>
        <w:rPr/>
        <w:t>current</w:t>
      </w:r>
      <w:r>
        <w:rPr>
          <w:spacing w:val="55"/>
        </w:rPr>
        <w:t> </w:t>
      </w:r>
      <w:r>
        <w:rPr/>
        <w:t>and</w:t>
      </w:r>
      <w:r>
        <w:rPr>
          <w:spacing w:val="55"/>
        </w:rPr>
        <w:t> </w:t>
      </w:r>
      <w:r>
        <w:rPr/>
        <w:t>potential</w:t>
      </w:r>
      <w:r>
        <w:rPr>
          <w:spacing w:val="41"/>
        </w:rPr>
        <w:t> </w:t>
      </w:r>
      <w:r>
        <w:rPr/>
        <w:t>customers</w:t>
      </w:r>
      <w:r>
        <w:rPr>
          <w:w w:val="100"/>
        </w:rPr>
        <w:t> </w:t>
      </w:r>
      <w:r>
        <w:rPr/>
        <w:t>thought that all </w:t>
      </w:r>
      <w:r>
        <w:rPr>
          <w:spacing w:val="-4"/>
        </w:rPr>
        <w:t>of </w:t>
      </w:r>
      <w:r>
        <w:rPr/>
        <w:t>the products in Artvin </w:t>
      </w:r>
      <w:r>
        <w:rPr>
          <w:spacing w:val="-3"/>
        </w:rPr>
        <w:t>exposed </w:t>
      </w:r>
      <w:r>
        <w:rPr/>
        <w:t>to</w:t>
      </w:r>
      <w:r>
        <w:rPr>
          <w:spacing w:val="46"/>
        </w:rPr>
        <w:t> </w:t>
      </w:r>
      <w:r>
        <w:rPr/>
        <w:t>insect</w:t>
      </w:r>
      <w:r>
        <w:rPr>
          <w:w w:val="100"/>
        </w:rPr>
        <w:t> </w:t>
      </w:r>
      <w:r>
        <w:rPr/>
        <w:t>damage and quality loss </w:t>
      </w:r>
      <w:r>
        <w:rPr>
          <w:rFonts w:ascii="Arial" w:hAnsi="Arial"/>
        </w:rPr>
        <w:t>(Dikilitaş </w:t>
      </w:r>
      <w:r>
        <w:rPr/>
        <w:t>and Öztürk,</w:t>
      </w:r>
      <w:r>
        <w:rPr>
          <w:spacing w:val="-10"/>
        </w:rPr>
        <w:t> </w:t>
      </w:r>
      <w:r>
        <w:rPr/>
        <w:t>2005).</w:t>
      </w:r>
    </w:p>
    <w:p>
      <w:pPr>
        <w:pStyle w:val="BodyText"/>
        <w:spacing w:line="240" w:lineRule="auto"/>
        <w:ind w:right="108" w:firstLine="182"/>
        <w:jc w:val="both"/>
      </w:pPr>
      <w:r>
        <w:rPr/>
        <w:t>It is thought that insect damage can have effect</w:t>
      </w:r>
      <w:r>
        <w:rPr>
          <w:spacing w:val="8"/>
        </w:rPr>
        <w:t> </w:t>
      </w:r>
      <w:r>
        <w:rPr>
          <w:spacing w:val="-4"/>
        </w:rPr>
        <w:t>on</w:t>
      </w:r>
      <w:r>
        <w:rPr>
          <w:w w:val="100"/>
        </w:rPr>
        <w:t> </w:t>
      </w:r>
      <w:r>
        <w:rPr/>
        <w:t>auction sales price together with various factors</w:t>
      </w:r>
      <w:r>
        <w:rPr>
          <w:spacing w:val="25"/>
        </w:rPr>
        <w:t> </w:t>
      </w:r>
      <w:r>
        <w:rPr/>
        <w:t>(Sendak,</w:t>
      </w:r>
      <w:r>
        <w:rPr>
          <w:w w:val="100"/>
        </w:rPr>
        <w:t> </w:t>
      </w:r>
      <w:r>
        <w:rPr/>
        <w:t>1991). For instance, Dobie and Wright (1978) referring</w:t>
      </w:r>
      <w:r>
        <w:rPr>
          <w:spacing w:val="13"/>
        </w:rPr>
        <w:t> </w:t>
      </w:r>
      <w:r>
        <w:rPr/>
        <w:t>to</w:t>
      </w:r>
      <w:r>
        <w:rPr>
          <w:w w:val="100"/>
        </w:rPr>
        <w:t> </w:t>
      </w:r>
      <w:r>
        <w:rPr/>
        <w:t>Levi and Dietrich (1976), state that, 10 to 22% </w:t>
      </w:r>
      <w:r>
        <w:rPr>
          <w:spacing w:val="-4"/>
        </w:rPr>
        <w:t>of</w:t>
      </w:r>
      <w:r>
        <w:rPr>
          <w:spacing w:val="35"/>
        </w:rPr>
        <w:t> </w:t>
      </w:r>
      <w:r>
        <w:rPr>
          <w:spacing w:val="-2"/>
        </w:rPr>
        <w:t>the</w:t>
      </w:r>
      <w:r>
        <w:rPr>
          <w:w w:val="100"/>
        </w:rPr>
        <w:t> </w:t>
      </w:r>
      <w:r>
        <w:rPr/>
        <w:t>customers in North Carolina do not accept to buy</w:t>
      </w:r>
      <w:r>
        <w:rPr>
          <w:spacing w:val="11"/>
        </w:rPr>
        <w:t> </w:t>
      </w:r>
      <w:r>
        <w:rPr/>
        <w:t>insect-</w:t>
      </w:r>
      <w:r>
        <w:rPr>
          <w:w w:val="100"/>
        </w:rPr>
        <w:t> </w:t>
      </w:r>
      <w:r>
        <w:rPr/>
        <w:t>damaged industrial </w:t>
      </w:r>
      <w:r>
        <w:rPr>
          <w:spacing w:val="-3"/>
        </w:rPr>
        <w:t>roundwood. </w:t>
      </w:r>
      <w:r>
        <w:rPr/>
        <w:t>Furthermore, there</w:t>
      </w:r>
      <w:r>
        <w:rPr>
          <w:spacing w:val="53"/>
        </w:rPr>
        <w:t> </w:t>
      </w:r>
      <w:r>
        <w:rPr/>
        <w:t>are</w:t>
      </w:r>
      <w:r>
        <w:rPr>
          <w:w w:val="100"/>
        </w:rPr>
        <w:t> </w:t>
      </w:r>
      <w:r>
        <w:rPr/>
        <w:t>studies about value losses in log and lumber as a </w:t>
      </w:r>
      <w:r>
        <w:rPr>
          <w:spacing w:val="17"/>
        </w:rPr>
        <w:t> </w:t>
      </w:r>
      <w:r>
        <w:rPr/>
        <w:t>result</w:t>
      </w:r>
      <w:r>
        <w:rPr>
          <w:w w:val="100"/>
        </w:rPr>
        <w:t> </w:t>
      </w:r>
      <w:r>
        <w:rPr/>
        <w:t>of damages of insects on </w:t>
      </w:r>
      <w:r>
        <w:rPr>
          <w:spacing w:val="-3"/>
        </w:rPr>
        <w:t>wood </w:t>
      </w:r>
      <w:r>
        <w:rPr/>
        <w:t>products (Dobie</w:t>
      </w:r>
      <w:r>
        <w:rPr>
          <w:spacing w:val="5"/>
        </w:rPr>
        <w:t> </w:t>
      </w:r>
      <w:r>
        <w:rPr>
          <w:spacing w:val="-3"/>
        </w:rPr>
        <w:t>and</w:t>
      </w:r>
      <w:r>
        <w:rPr>
          <w:w w:val="100"/>
        </w:rPr>
        <w:t> </w:t>
      </w:r>
      <w:r>
        <w:rPr/>
        <w:t>Wright, 1978) and determination of economic effects</w:t>
      </w:r>
      <w:r>
        <w:rPr>
          <w:spacing w:val="14"/>
        </w:rPr>
        <w:t> </w:t>
      </w:r>
      <w:r>
        <w:rPr/>
        <w:t>of</w:t>
      </w:r>
      <w:r>
        <w:rPr>
          <w:w w:val="100"/>
        </w:rPr>
        <w:t> </w:t>
      </w:r>
      <w:r>
        <w:rPr/>
        <w:t>mortality </w:t>
      </w:r>
      <w:r>
        <w:rPr>
          <w:spacing w:val="-4"/>
        </w:rPr>
        <w:t>of </w:t>
      </w:r>
      <w:r>
        <w:rPr/>
        <w:t>trees and their incremental</w:t>
      </w:r>
      <w:r>
        <w:rPr>
          <w:spacing w:val="41"/>
        </w:rPr>
        <w:t> </w:t>
      </w:r>
      <w:r>
        <w:rPr/>
        <w:t>losses</w:t>
      </w:r>
      <w:r>
        <w:rPr>
          <w:w w:val="100"/>
        </w:rPr>
        <w:t> </w:t>
      </w:r>
      <w:r>
        <w:rPr/>
        <w:t>(Lyytikäinen-Saarenmaa et al.,</w:t>
      </w:r>
      <w:r>
        <w:rPr>
          <w:spacing w:val="-6"/>
        </w:rPr>
        <w:t> </w:t>
      </w:r>
      <w:r>
        <w:rPr/>
        <w:t>2003).</w:t>
      </w:r>
    </w:p>
    <w:p>
      <w:pPr>
        <w:spacing w:after="0" w:line="240" w:lineRule="auto"/>
        <w:jc w:val="both"/>
        <w:sectPr>
          <w:type w:val="continuous"/>
          <w:pgSz w:w="12240" w:h="15840"/>
          <w:pgMar w:top="520" w:bottom="280" w:left="760" w:right="600"/>
          <w:cols w:num="2" w:equalWidth="0">
            <w:col w:w="5225" w:space="321"/>
            <w:col w:w="5334"/>
          </w:cols>
        </w:sectPr>
      </w:pPr>
    </w:p>
    <w:p>
      <w:pPr>
        <w:pStyle w:val="BodyText"/>
        <w:tabs>
          <w:tab w:pos="1582" w:val="left" w:leader="none"/>
        </w:tabs>
        <w:spacing w:line="240" w:lineRule="auto" w:before="51"/>
        <w:ind w:left="0" w:right="109"/>
        <w:jc w:val="right"/>
      </w:pPr>
      <w:r>
        <w:rPr/>
        <w:t>Öztürk </w:t>
      </w:r>
      <w:r>
        <w:rPr>
          <w:spacing w:val="-1"/>
        </w:rPr>
        <w:t>et</w:t>
      </w:r>
      <w:r>
        <w:rPr>
          <w:spacing w:val="9"/>
        </w:rPr>
        <w:t> </w:t>
      </w:r>
      <w:r>
        <w:rPr>
          <w:spacing w:val="-2"/>
        </w:rPr>
        <w:t>al.</w:t>
        <w:tab/>
        <w:t>8553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sz w:val="19"/>
          <w:szCs w:val="19"/>
        </w:rPr>
      </w:pPr>
    </w:p>
    <w:p>
      <w:pPr>
        <w:spacing w:before="0"/>
        <w:ind w:left="1905" w:right="2991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sz w:val="17"/>
        </w:rPr>
        <w:t>Table 1. </w:t>
      </w:r>
      <w:r>
        <w:rPr>
          <w:rFonts w:ascii="Arial"/>
          <w:sz w:val="17"/>
        </w:rPr>
        <w:t>Some characteristics </w:t>
      </w:r>
      <w:r>
        <w:rPr>
          <w:rFonts w:ascii="Arial"/>
          <w:spacing w:val="-5"/>
          <w:sz w:val="17"/>
        </w:rPr>
        <w:t>of </w:t>
      </w:r>
      <w:r>
        <w:rPr>
          <w:rFonts w:ascii="Arial"/>
          <w:sz w:val="17"/>
        </w:rPr>
        <w:t>timber</w:t>
      </w:r>
      <w:r>
        <w:rPr>
          <w:rFonts w:ascii="Arial"/>
          <w:spacing w:val="-15"/>
          <w:sz w:val="17"/>
        </w:rPr>
        <w:t> </w:t>
      </w:r>
      <w:r>
        <w:rPr>
          <w:rFonts w:ascii="Arial"/>
          <w:sz w:val="17"/>
        </w:rPr>
        <w:t>parties.</w:t>
      </w:r>
    </w:p>
    <w:p>
      <w:pPr>
        <w:spacing w:line="240" w:lineRule="auto" w:before="8"/>
        <w:rPr>
          <w:rFonts w:ascii="Arial" w:hAnsi="Arial" w:cs="Arial" w:eastAsia="Arial"/>
          <w:sz w:val="17"/>
          <w:szCs w:val="17"/>
        </w:rPr>
      </w:pPr>
    </w:p>
    <w:tbl>
      <w:tblPr>
        <w:tblW w:w="0" w:type="auto"/>
        <w:jc w:val="left"/>
        <w:tblInd w:w="188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41"/>
        <w:gridCol w:w="2426"/>
        <w:gridCol w:w="2035"/>
      </w:tblGrid>
      <w:tr>
        <w:trPr>
          <w:trHeight w:val="264" w:hRule="exact"/>
        </w:trPr>
        <w:tc>
          <w:tcPr>
            <w:tcW w:w="264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1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Group</w:t>
            </w:r>
            <w:r>
              <w:rPr>
                <w:rFonts w:ascii="Arial"/>
                <w:sz w:val="18"/>
              </w:rPr>
            </w:r>
          </w:p>
        </w:tc>
        <w:tc>
          <w:tcPr>
            <w:tcW w:w="2426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45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Number </w:t>
            </w:r>
            <w:r>
              <w:rPr>
                <w:rFonts w:ascii="Arial"/>
                <w:b/>
                <w:spacing w:val="-3"/>
                <w:sz w:val="18"/>
              </w:rPr>
              <w:t>of</w:t>
            </w:r>
            <w:r>
              <w:rPr>
                <w:rFonts w:ascii="Arial"/>
                <w:b/>
                <w:spacing w:val="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parties</w:t>
            </w:r>
            <w:r>
              <w:rPr>
                <w:rFonts w:ascii="Arial"/>
                <w:sz w:val="18"/>
              </w:rPr>
            </w:r>
          </w:p>
        </w:tc>
        <w:tc>
          <w:tcPr>
            <w:tcW w:w="2035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exact"/>
              <w:ind w:left="43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Volume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(m</w:t>
            </w:r>
            <w:r>
              <w:rPr>
                <w:rFonts w:ascii="Arial"/>
                <w:b/>
                <w:position w:val="9"/>
                <w:sz w:val="12"/>
              </w:rPr>
              <w:t>3</w:t>
            </w:r>
            <w:r>
              <w:rPr>
                <w:rFonts w:ascii="Arial"/>
                <w:b/>
                <w:sz w:val="18"/>
              </w:rPr>
              <w:t>)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75" w:hRule="exact"/>
        </w:trPr>
        <w:tc>
          <w:tcPr>
            <w:tcW w:w="264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1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Non-damaged </w:t>
            </w:r>
            <w:r>
              <w:rPr>
                <w:rFonts w:ascii="Arial"/>
                <w:spacing w:val="-3"/>
                <w:sz w:val="18"/>
              </w:rPr>
              <w:t>(level</w:t>
            </w:r>
            <w:r>
              <w:rPr>
                <w:rFonts w:ascii="Arial"/>
                <w:spacing w:val="16"/>
                <w:sz w:val="18"/>
              </w:rPr>
              <w:t> </w:t>
            </w:r>
            <w:r>
              <w:rPr>
                <w:rFonts w:ascii="Arial"/>
                <w:spacing w:val="-3"/>
                <w:sz w:val="18"/>
              </w:rPr>
              <w:t>0)</w:t>
            </w:r>
          </w:p>
        </w:tc>
        <w:tc>
          <w:tcPr>
            <w:tcW w:w="242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203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62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496.427</w:t>
            </w:r>
          </w:p>
        </w:tc>
      </w:tr>
      <w:tr>
        <w:trPr>
          <w:trHeight w:val="248" w:hRule="exact"/>
        </w:trPr>
        <w:tc>
          <w:tcPr>
            <w:tcW w:w="26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1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Slightly damaged </w:t>
            </w:r>
            <w:r>
              <w:rPr>
                <w:rFonts w:ascii="Arial"/>
                <w:spacing w:val="-3"/>
                <w:sz w:val="18"/>
              </w:rPr>
              <w:t>(level</w:t>
            </w:r>
            <w:r>
              <w:rPr>
                <w:rFonts w:ascii="Arial"/>
                <w:spacing w:val="12"/>
                <w:sz w:val="18"/>
              </w:rPr>
              <w:t> </w:t>
            </w:r>
            <w:r>
              <w:rPr>
                <w:rFonts w:ascii="Arial"/>
                <w:spacing w:val="-3"/>
                <w:sz w:val="18"/>
              </w:rPr>
              <w:t>1)</w:t>
            </w:r>
          </w:p>
        </w:tc>
        <w:tc>
          <w:tcPr>
            <w:tcW w:w="24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64</w:t>
            </w:r>
          </w:p>
        </w:tc>
        <w:tc>
          <w:tcPr>
            <w:tcW w:w="20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15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2075.3</w:t>
            </w:r>
          </w:p>
        </w:tc>
      </w:tr>
      <w:tr>
        <w:trPr>
          <w:trHeight w:val="247" w:hRule="exact"/>
        </w:trPr>
        <w:tc>
          <w:tcPr>
            <w:tcW w:w="26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1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Heavily damaged </w:t>
            </w:r>
            <w:r>
              <w:rPr>
                <w:rFonts w:ascii="Arial"/>
                <w:spacing w:val="-3"/>
                <w:sz w:val="18"/>
              </w:rPr>
              <w:t>(level</w:t>
            </w:r>
            <w:r>
              <w:rPr>
                <w:rFonts w:ascii="Arial"/>
                <w:spacing w:val="13"/>
                <w:sz w:val="18"/>
              </w:rPr>
              <w:t> </w:t>
            </w:r>
            <w:r>
              <w:rPr>
                <w:rFonts w:ascii="Arial"/>
                <w:spacing w:val="-3"/>
                <w:sz w:val="18"/>
              </w:rPr>
              <w:t>2)</w:t>
            </w:r>
          </w:p>
        </w:tc>
        <w:tc>
          <w:tcPr>
            <w:tcW w:w="24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30</w:t>
            </w:r>
          </w:p>
        </w:tc>
        <w:tc>
          <w:tcPr>
            <w:tcW w:w="20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right="115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972.04</w:t>
            </w:r>
          </w:p>
        </w:tc>
      </w:tr>
      <w:tr>
        <w:trPr>
          <w:trHeight w:val="234" w:hRule="exact"/>
        </w:trPr>
        <w:tc>
          <w:tcPr>
            <w:tcW w:w="2641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1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Total</w:t>
            </w:r>
          </w:p>
        </w:tc>
        <w:tc>
          <w:tcPr>
            <w:tcW w:w="2426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7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2035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62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3543.74</w:t>
            </w:r>
          </w:p>
        </w:tc>
      </w:tr>
    </w:tbl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top="520" w:bottom="280" w:left="760" w:right="600"/>
        </w:sectPr>
      </w:pPr>
    </w:p>
    <w:p>
      <w:pPr>
        <w:spacing w:line="240" w:lineRule="auto" w:before="3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240" w:lineRule="auto"/>
        <w:ind w:right="0" w:firstLine="182"/>
        <w:jc w:val="both"/>
      </w:pPr>
      <w:r>
        <w:rPr/>
        <w:t>This study is to estimate the parameters </w:t>
      </w:r>
      <w:r>
        <w:rPr>
          <w:spacing w:val="-4"/>
        </w:rPr>
        <w:t>of </w:t>
      </w:r>
      <w:r>
        <w:rPr/>
        <w:t>sales</w:t>
      </w:r>
      <w:r>
        <w:rPr>
          <w:spacing w:val="48"/>
        </w:rPr>
        <w:t> </w:t>
      </w:r>
      <w:r>
        <w:rPr/>
        <w:t>prices</w:t>
      </w:r>
      <w:r>
        <w:rPr>
          <w:w w:val="100"/>
        </w:rPr>
        <w:t> </w:t>
      </w:r>
      <w:r>
        <w:rPr/>
        <w:t>of insect-damaged industrial </w:t>
      </w:r>
      <w:r>
        <w:rPr>
          <w:spacing w:val="-3"/>
        </w:rPr>
        <w:t>roundwood </w:t>
      </w:r>
      <w:r>
        <w:rPr/>
        <w:t>of spruce</w:t>
      </w:r>
      <w:r>
        <w:rPr>
          <w:spacing w:val="22"/>
        </w:rPr>
        <w:t> </w:t>
      </w:r>
      <w:r>
        <w:rPr/>
        <w:t>(</w:t>
      </w:r>
      <w:r>
        <w:rPr>
          <w:rFonts w:ascii="Arial"/>
          <w:i/>
        </w:rPr>
        <w:t>Picea</w:t>
      </w:r>
      <w:r>
        <w:rPr>
          <w:rFonts w:ascii="Arial"/>
          <w:i/>
          <w:w w:val="100"/>
        </w:rPr>
        <w:t> </w:t>
      </w:r>
      <w:r>
        <w:rPr>
          <w:rFonts w:ascii="Arial"/>
          <w:i/>
        </w:rPr>
        <w:t>orientalis </w:t>
      </w:r>
      <w:r>
        <w:rPr/>
        <w:t>(L.) Link.</w:t>
      </w:r>
      <w:r>
        <w:rPr>
          <w:rFonts w:ascii="Arial"/>
          <w:i/>
        </w:rPr>
        <w:t>) </w:t>
      </w:r>
      <w:r>
        <w:rPr/>
        <w:t>in Artvin </w:t>
      </w:r>
      <w:r>
        <w:rPr>
          <w:spacing w:val="-3"/>
        </w:rPr>
        <w:t>SFE. </w:t>
      </w:r>
      <w:r>
        <w:rPr/>
        <w:t>By this, degree</w:t>
      </w:r>
      <w:r>
        <w:rPr>
          <w:spacing w:val="29"/>
        </w:rPr>
        <w:t> </w:t>
      </w:r>
      <w:r>
        <w:rPr>
          <w:spacing w:val="-3"/>
        </w:rPr>
        <w:t>and</w:t>
      </w:r>
      <w:r>
        <w:rPr>
          <w:w w:val="100"/>
        </w:rPr>
        <w:t> </w:t>
      </w:r>
      <w:r>
        <w:rPr/>
        <w:t>direction </w:t>
      </w:r>
      <w:r>
        <w:rPr>
          <w:spacing w:val="-4"/>
        </w:rPr>
        <w:t>of </w:t>
      </w:r>
      <w:r>
        <w:rPr/>
        <w:t>the effect by insect </w:t>
      </w:r>
      <w:r>
        <w:rPr>
          <w:spacing w:val="-3"/>
        </w:rPr>
        <w:t>damages, </w:t>
      </w:r>
      <w:r>
        <w:rPr/>
        <w:t>together</w:t>
      </w:r>
      <w:r>
        <w:rPr>
          <w:spacing w:val="-23"/>
        </w:rPr>
        <w:t> </w:t>
      </w:r>
      <w:r>
        <w:rPr/>
        <w:t>with</w:t>
      </w:r>
      <w:r>
        <w:rPr>
          <w:w w:val="100"/>
        </w:rPr>
        <w:t> </w:t>
      </w:r>
      <w:r>
        <w:rPr/>
        <w:t>some other hypothesized explanatory variables, upon</w:t>
      </w:r>
      <w:r>
        <w:rPr>
          <w:spacing w:val="29"/>
        </w:rPr>
        <w:t> </w:t>
      </w:r>
      <w:r>
        <w:rPr>
          <w:spacing w:val="-2"/>
        </w:rPr>
        <w:t>the</w:t>
      </w:r>
      <w:r>
        <w:rPr>
          <w:w w:val="100"/>
        </w:rPr>
        <w:t> </w:t>
      </w:r>
      <w:r>
        <w:rPr/>
        <w:t>sales price, are expected to be</w:t>
      </w:r>
      <w:r>
        <w:rPr>
          <w:spacing w:val="-8"/>
        </w:rPr>
        <w:t> </w:t>
      </w:r>
      <w:r>
        <w:rPr/>
        <w:t>determined.</w:t>
      </w: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/>
          <w:sz w:val="19"/>
        </w:rPr>
      </w:r>
    </w:p>
    <w:p>
      <w:pPr>
        <w:spacing w:line="249" w:lineRule="auto" w:before="0"/>
        <w:ind w:left="104" w:right="12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7"/>
        </w:rPr>
        <w:t>appraised value and most part of this price </w:t>
      </w:r>
      <w:r>
        <w:rPr>
          <w:rFonts w:ascii="Arial"/>
          <w:spacing w:val="-3"/>
          <w:sz w:val="17"/>
        </w:rPr>
        <w:t>is </w:t>
      </w:r>
      <w:r>
        <w:rPr>
          <w:rFonts w:ascii="Arial"/>
          <w:sz w:val="17"/>
        </w:rPr>
        <w:t>comprised of</w:t>
      </w:r>
      <w:r>
        <w:rPr>
          <w:rFonts w:ascii="Arial"/>
          <w:spacing w:val="40"/>
          <w:sz w:val="17"/>
        </w:rPr>
        <w:t> </w:t>
      </w:r>
      <w:r>
        <w:rPr>
          <w:rFonts w:ascii="Arial"/>
          <w:sz w:val="17"/>
        </w:rPr>
        <w:t>the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6"/>
        </w:rPr>
        <w:t>appraised value.  So,  a  linear  relationship  is  expected  between</w:t>
      </w:r>
      <w:r>
        <w:rPr>
          <w:rFonts w:ascii="Arial"/>
          <w:spacing w:val="-34"/>
          <w:sz w:val="16"/>
        </w:rPr>
        <w:t> </w:t>
      </w:r>
      <w:r>
        <w:rPr>
          <w:rFonts w:ascii="Arial"/>
          <w:spacing w:val="-34"/>
          <w:sz w:val="16"/>
        </w:rPr>
      </w:r>
      <w:r>
        <w:rPr>
          <w:rFonts w:ascii="Arial"/>
          <w:sz w:val="17"/>
        </w:rPr>
        <w:t>these </w:t>
      </w:r>
      <w:r>
        <w:rPr>
          <w:rFonts w:ascii="Arial"/>
          <w:spacing w:val="2"/>
          <w:sz w:val="17"/>
        </w:rPr>
        <w:t>two </w:t>
      </w:r>
      <w:r>
        <w:rPr>
          <w:rFonts w:ascii="Arial"/>
          <w:sz w:val="17"/>
        </w:rPr>
        <w:t>values. On the </w:t>
      </w:r>
      <w:r>
        <w:rPr>
          <w:rFonts w:ascii="Arial"/>
          <w:spacing w:val="-3"/>
          <w:sz w:val="17"/>
        </w:rPr>
        <w:t>other </w:t>
      </w:r>
      <w:r>
        <w:rPr>
          <w:rFonts w:ascii="Arial"/>
          <w:sz w:val="17"/>
        </w:rPr>
        <w:t>hand, </w:t>
      </w:r>
      <w:r>
        <w:rPr>
          <w:rFonts w:ascii="Arial"/>
          <w:spacing w:val="-5"/>
          <w:sz w:val="17"/>
        </w:rPr>
        <w:t>as </w:t>
      </w:r>
      <w:r>
        <w:rPr>
          <w:rFonts w:ascii="Arial"/>
          <w:sz w:val="17"/>
        </w:rPr>
        <w:t>an increase </w:t>
      </w:r>
      <w:r>
        <w:rPr>
          <w:rFonts w:ascii="Arial"/>
          <w:spacing w:val="-3"/>
          <w:sz w:val="17"/>
        </w:rPr>
        <w:t>in </w:t>
      </w:r>
      <w:r>
        <w:rPr>
          <w:rFonts w:ascii="Arial"/>
          <w:sz w:val="17"/>
        </w:rPr>
        <w:t>the</w:t>
      </w:r>
      <w:r>
        <w:rPr>
          <w:rFonts w:ascii="Arial"/>
          <w:spacing w:val="16"/>
          <w:sz w:val="17"/>
        </w:rPr>
        <w:t> </w:t>
      </w:r>
      <w:r>
        <w:rPr>
          <w:rFonts w:ascii="Arial"/>
          <w:sz w:val="17"/>
        </w:rPr>
        <w:t>amount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6"/>
        </w:rPr>
        <w:t>of</w:t>
      </w:r>
      <w:r>
        <w:rPr>
          <w:rFonts w:ascii="Arial"/>
          <w:spacing w:val="28"/>
          <w:sz w:val="16"/>
        </w:rPr>
        <w:t> </w:t>
      </w:r>
      <w:r>
        <w:rPr>
          <w:rFonts w:ascii="Arial"/>
          <w:sz w:val="16"/>
        </w:rPr>
        <w:t>insect-damaged</w:t>
      </w:r>
      <w:r>
        <w:rPr>
          <w:rFonts w:ascii="Arial"/>
          <w:spacing w:val="29"/>
          <w:sz w:val="16"/>
        </w:rPr>
        <w:t> </w:t>
      </w:r>
      <w:r>
        <w:rPr>
          <w:rFonts w:ascii="Arial"/>
          <w:sz w:val="16"/>
        </w:rPr>
        <w:t>products</w:t>
      </w:r>
      <w:r>
        <w:rPr>
          <w:rFonts w:ascii="Arial"/>
          <w:spacing w:val="29"/>
          <w:sz w:val="16"/>
        </w:rPr>
        <w:t> </w:t>
      </w:r>
      <w:r>
        <w:rPr>
          <w:rFonts w:ascii="Arial"/>
          <w:sz w:val="16"/>
        </w:rPr>
        <w:t>in</w:t>
      </w:r>
      <w:r>
        <w:rPr>
          <w:rFonts w:ascii="Arial"/>
          <w:spacing w:val="23"/>
          <w:sz w:val="16"/>
        </w:rPr>
        <w:t> </w:t>
      </w:r>
      <w:r>
        <w:rPr>
          <w:rFonts w:ascii="Arial"/>
          <w:sz w:val="16"/>
        </w:rPr>
        <w:t>timber</w:t>
      </w:r>
      <w:r>
        <w:rPr>
          <w:rFonts w:ascii="Arial"/>
          <w:spacing w:val="35"/>
          <w:sz w:val="16"/>
        </w:rPr>
        <w:t> </w:t>
      </w:r>
      <w:r>
        <w:rPr>
          <w:rFonts w:ascii="Arial"/>
          <w:sz w:val="16"/>
        </w:rPr>
        <w:t>party</w:t>
      </w:r>
      <w:r>
        <w:rPr>
          <w:rFonts w:ascii="Arial"/>
          <w:spacing w:val="29"/>
          <w:sz w:val="16"/>
        </w:rPr>
        <w:t> </w:t>
      </w:r>
      <w:r>
        <w:rPr>
          <w:rFonts w:ascii="Arial"/>
          <w:sz w:val="16"/>
        </w:rPr>
        <w:t>will</w:t>
      </w:r>
      <w:r>
        <w:rPr>
          <w:rFonts w:ascii="Arial"/>
          <w:spacing w:val="28"/>
          <w:sz w:val="16"/>
        </w:rPr>
        <w:t> </w:t>
      </w:r>
      <w:r>
        <w:rPr>
          <w:rFonts w:ascii="Arial"/>
          <w:sz w:val="16"/>
        </w:rPr>
        <w:t>decrease</w:t>
      </w:r>
      <w:r>
        <w:rPr>
          <w:rFonts w:ascii="Arial"/>
          <w:spacing w:val="23"/>
          <w:sz w:val="16"/>
        </w:rPr>
        <w:t> </w:t>
      </w:r>
      <w:r>
        <w:rPr>
          <w:rFonts w:ascii="Arial"/>
          <w:sz w:val="16"/>
        </w:rPr>
        <w:t>demand</w:t>
      </w:r>
      <w:r>
        <w:rPr>
          <w:rFonts w:ascii="Arial"/>
          <w:spacing w:val="29"/>
          <w:sz w:val="16"/>
        </w:rPr>
        <w:t> </w:t>
      </w:r>
      <w:r>
        <w:rPr>
          <w:rFonts w:ascii="Arial"/>
          <w:spacing w:val="-4"/>
          <w:sz w:val="16"/>
        </w:rPr>
        <w:t>of</w:t>
      </w:r>
      <w:r>
        <w:rPr>
          <w:rFonts w:ascii="Arial"/>
          <w:spacing w:val="-26"/>
          <w:sz w:val="16"/>
        </w:rPr>
        <w:t> </w:t>
      </w:r>
      <w:r>
        <w:rPr>
          <w:rFonts w:ascii="Arial"/>
          <w:spacing w:val="-26"/>
          <w:sz w:val="16"/>
        </w:rPr>
      </w:r>
      <w:r>
        <w:rPr>
          <w:rFonts w:ascii="Arial"/>
          <w:sz w:val="17"/>
        </w:rPr>
        <w:t>the product, there will be a negative relation between damage</w:t>
      </w:r>
      <w:r>
        <w:rPr>
          <w:rFonts w:ascii="Arial"/>
          <w:spacing w:val="44"/>
          <w:sz w:val="17"/>
        </w:rPr>
        <w:t> </w:t>
      </w:r>
      <w:r>
        <w:rPr>
          <w:rFonts w:ascii="Arial"/>
          <w:sz w:val="17"/>
        </w:rPr>
        <w:t>level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6"/>
        </w:rPr>
        <w:t>and  sales</w:t>
      </w:r>
      <w:r>
        <w:rPr>
          <w:rFonts w:ascii="Arial"/>
          <w:spacing w:val="12"/>
          <w:sz w:val="16"/>
        </w:rPr>
        <w:t> </w:t>
      </w:r>
      <w:r>
        <w:rPr>
          <w:rFonts w:ascii="Arial"/>
          <w:sz w:val="16"/>
        </w:rPr>
        <w:t>price.</w:t>
      </w:r>
    </w:p>
    <w:p>
      <w:pPr>
        <w:spacing w:line="252" w:lineRule="auto" w:before="0"/>
        <w:ind w:left="104" w:right="0" w:firstLine="182"/>
        <w:jc w:val="left"/>
        <w:rPr>
          <w:rFonts w:ascii="Arial" w:hAnsi="Arial" w:cs="Arial" w:eastAsia="Arial"/>
          <w:sz w:val="16"/>
          <w:szCs w:val="16"/>
        </w:rPr>
      </w:pPr>
      <w:r>
        <w:rPr/>
        <w:pict>
          <v:shape style="position:absolute;margin-left:542.170776pt;margin-top:29.622952pt;width:11.871016pt;height:13.844407pt;mso-position-horizontal-relative:page;mso-position-vertical-relative:paragraph;z-index:-30112" type="#_x0000_t75" stroked="false">
            <v:imagedata r:id="rId7" o:title=""/>
          </v:shape>
        </w:pict>
      </w:r>
      <w:r>
        <w:rPr/>
        <w:pict>
          <v:shape style="position:absolute;margin-left:495.014679pt;margin-top:29.622952pt;width:20.814082pt;height:13.844407pt;mso-position-horizontal-relative:page;mso-position-vertical-relative:paragraph;z-index:-30088" type="#_x0000_t75" stroked="false">
            <v:imagedata r:id="rId8" o:title=""/>
          </v:shape>
        </w:pict>
      </w:r>
      <w:r>
        <w:rPr/>
        <w:pict>
          <v:shape style="position:absolute;margin-left:454.198822pt;margin-top:29.622952pt;width:20.804548pt;height:13.844407pt;mso-position-horizontal-relative:page;mso-position-vertical-relative:paragraph;z-index:-30064" type="#_x0000_t75" stroked="false">
            <v:imagedata r:id="rId8" o:title=""/>
          </v:shape>
        </w:pict>
      </w:r>
      <w:r>
        <w:rPr/>
        <w:pict>
          <v:shape style="position:absolute;margin-left:407.228668pt;margin-top:29.622952pt;width:20.809315pt;height:13.844407pt;mso-position-horizontal-relative:page;mso-position-vertical-relative:paragraph;z-index:-30040" type="#_x0000_t75" stroked="false">
            <v:imagedata r:id="rId8" o:title=""/>
          </v:shape>
        </w:pict>
      </w:r>
      <w:r>
        <w:rPr/>
        <w:pict>
          <v:group style="position:absolute;margin-left:337.317322pt;margin-top:29.622952pt;width:44.7pt;height:13.85pt;mso-position-horizontal-relative:page;mso-position-vertical-relative:paragraph;z-index:-30016" coordorigin="6746,592" coordsize="894,277">
            <v:shape style="position:absolute;left:7224;top:592;width:416;height:277" type="#_x0000_t75" stroked="false">
              <v:imagedata r:id="rId8" o:title=""/>
            </v:shape>
            <v:shape style="position:absolute;left:6746;top:592;width:427;height:277" type="#_x0000_t75" stroked="false">
              <v:imagedata r:id="rId9" o:title=""/>
            </v:shape>
            <w10:wrap type="none"/>
          </v:group>
        </w:pict>
      </w:r>
      <w:r>
        <w:rPr>
          <w:rFonts w:ascii="Arial"/>
          <w:sz w:val="17"/>
        </w:rPr>
        <w:t>Ultimately, we propose the following linear model </w:t>
      </w:r>
      <w:r>
        <w:rPr>
          <w:rFonts w:ascii="Arial"/>
          <w:spacing w:val="2"/>
          <w:sz w:val="17"/>
        </w:rPr>
        <w:t>to </w:t>
      </w:r>
      <w:r>
        <w:rPr>
          <w:rFonts w:ascii="Arial"/>
          <w:sz w:val="17"/>
        </w:rPr>
        <w:t>estimate</w:t>
      </w:r>
      <w:r>
        <w:rPr>
          <w:rFonts w:ascii="Arial"/>
          <w:spacing w:val="42"/>
          <w:sz w:val="17"/>
        </w:rPr>
        <w:t> </w:t>
      </w:r>
      <w:r>
        <w:rPr>
          <w:rFonts w:ascii="Arial"/>
          <w:spacing w:val="2"/>
          <w:sz w:val="17"/>
        </w:rPr>
        <w:t>the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6"/>
        </w:rPr>
        <w:t>parameters  </w:t>
      </w:r>
      <w:r>
        <w:rPr>
          <w:rFonts w:ascii="Arial"/>
          <w:spacing w:val="-4"/>
          <w:sz w:val="16"/>
        </w:rPr>
        <w:t>of  </w:t>
      </w:r>
      <w:r>
        <w:rPr>
          <w:rFonts w:ascii="Arial"/>
          <w:sz w:val="16"/>
        </w:rPr>
        <w:t>the  insect-damaged  timber</w:t>
      </w:r>
      <w:r>
        <w:rPr>
          <w:rFonts w:ascii="Arial"/>
          <w:spacing w:val="21"/>
          <w:sz w:val="16"/>
        </w:rPr>
        <w:t> </w:t>
      </w:r>
      <w:r>
        <w:rPr>
          <w:rFonts w:ascii="Arial"/>
          <w:sz w:val="16"/>
        </w:rPr>
        <w:t>price:</w:t>
      </w:r>
    </w:p>
    <w:p>
      <w:pPr>
        <w:spacing w:after="0" w:line="252" w:lineRule="auto"/>
        <w:jc w:val="left"/>
        <w:rPr>
          <w:rFonts w:ascii="Arial" w:hAnsi="Arial" w:cs="Arial" w:eastAsia="Arial"/>
          <w:sz w:val="16"/>
          <w:szCs w:val="16"/>
        </w:rPr>
        <w:sectPr>
          <w:type w:val="continuous"/>
          <w:pgSz w:w="12240" w:h="15840"/>
          <w:pgMar w:top="520" w:bottom="280" w:left="760" w:right="600"/>
          <w:cols w:num="2" w:equalWidth="0">
            <w:col w:w="5221" w:space="325"/>
            <w:col w:w="5334"/>
          </w:cols>
        </w:sectPr>
      </w:pPr>
    </w:p>
    <w:p>
      <w:pPr>
        <w:spacing w:line="240" w:lineRule="auto" w:before="11"/>
        <w:rPr>
          <w:rFonts w:ascii="Arial" w:hAnsi="Arial" w:cs="Arial" w:eastAsia="Arial"/>
          <w:sz w:val="11"/>
          <w:szCs w:val="11"/>
        </w:rPr>
      </w:pPr>
    </w:p>
    <w:p>
      <w:pPr>
        <w:spacing w:after="0" w:line="240" w:lineRule="auto"/>
        <w:rPr>
          <w:rFonts w:ascii="Arial" w:hAnsi="Arial" w:cs="Arial" w:eastAsia="Arial"/>
          <w:sz w:val="11"/>
          <w:szCs w:val="11"/>
        </w:rPr>
        <w:sectPr>
          <w:type w:val="continuous"/>
          <w:pgSz w:w="12240" w:h="15840"/>
          <w:pgMar w:top="520" w:bottom="280" w:left="760" w:right="600"/>
        </w:sectPr>
      </w:pPr>
    </w:p>
    <w:p>
      <w:pPr>
        <w:spacing w:before="125"/>
        <w:ind w:left="104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sz w:val="17"/>
        </w:rPr>
        <w:t>THE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MODEL</w:t>
      </w:r>
      <w:r>
        <w:rPr>
          <w:rFonts w:ascii="Arial"/>
          <w:sz w:val="17"/>
        </w:rPr>
      </w:r>
    </w:p>
    <w:p>
      <w:pPr>
        <w:spacing w:before="74"/>
        <w:ind w:left="104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spacing w:val="-13"/>
          <w:w w:val="105"/>
        </w:rPr>
        <w:br w:type="column"/>
      </w:r>
      <w:r>
        <w:rPr>
          <w:rFonts w:ascii="Times New Roman"/>
          <w:i/>
          <w:spacing w:val="-13"/>
          <w:w w:val="105"/>
          <w:position w:val="6"/>
          <w:sz w:val="22"/>
        </w:rPr>
        <w:t>P</w:t>
      </w:r>
      <w:r>
        <w:rPr>
          <w:rFonts w:ascii="Times New Roman"/>
          <w:i/>
          <w:spacing w:val="-13"/>
          <w:w w:val="105"/>
          <w:sz w:val="13"/>
        </w:rPr>
        <w:t>ts</w:t>
      </w:r>
      <w:r>
        <w:rPr>
          <w:rFonts w:ascii="Times New Roman"/>
          <w:sz w:val="13"/>
        </w:rPr>
      </w:r>
    </w:p>
    <w:p>
      <w:pPr>
        <w:tabs>
          <w:tab w:pos="558" w:val="left" w:leader="none"/>
        </w:tabs>
        <w:spacing w:before="77"/>
        <w:ind w:left="104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/>
          <w:position w:val="-5"/>
          <w:sz w:val="13"/>
        </w:rPr>
        <w:t>0</w:t>
        <w:tab/>
      </w:r>
      <w:r>
        <w:rPr>
          <w:rFonts w:ascii="Times New Roman"/>
          <w:w w:val="105"/>
          <w:position w:val="-5"/>
          <w:sz w:val="13"/>
        </w:rPr>
        <w:t>1</w:t>
      </w:r>
      <w:r>
        <w:rPr>
          <w:rFonts w:ascii="Times New Roman"/>
          <w:spacing w:val="-22"/>
          <w:w w:val="105"/>
          <w:position w:val="-5"/>
          <w:sz w:val="13"/>
        </w:rPr>
        <w:t> </w:t>
      </w:r>
      <w:r>
        <w:rPr>
          <w:rFonts w:ascii="Times New Roman"/>
          <w:i/>
          <w:w w:val="105"/>
          <w:sz w:val="22"/>
        </w:rPr>
        <w:t>NoB</w:t>
      </w:r>
      <w:r>
        <w:rPr>
          <w:rFonts w:ascii="Times New Roman"/>
          <w:i/>
          <w:w w:val="105"/>
          <w:position w:val="-5"/>
          <w:sz w:val="13"/>
        </w:rPr>
        <w:t>i</w:t>
      </w:r>
      <w:r>
        <w:rPr>
          <w:rFonts w:ascii="Times New Roman"/>
          <w:sz w:val="13"/>
        </w:rPr>
      </w:r>
    </w:p>
    <w:p>
      <w:pPr>
        <w:spacing w:before="77"/>
        <w:ind w:left="104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w w:val="105"/>
        </w:rPr>
        <w:br w:type="column"/>
      </w:r>
      <w:r>
        <w:rPr>
          <w:rFonts w:ascii="Times New Roman"/>
          <w:w w:val="105"/>
          <w:position w:val="-5"/>
          <w:sz w:val="13"/>
        </w:rPr>
        <w:t>2</w:t>
      </w:r>
      <w:r>
        <w:rPr>
          <w:rFonts w:ascii="Times New Roman"/>
          <w:i/>
          <w:w w:val="105"/>
          <w:sz w:val="22"/>
        </w:rPr>
        <w:t>YaH</w:t>
      </w:r>
      <w:r>
        <w:rPr>
          <w:rFonts w:ascii="Times New Roman"/>
          <w:i/>
          <w:w w:val="105"/>
          <w:position w:val="-5"/>
          <w:sz w:val="13"/>
        </w:rPr>
        <w:t>i</w:t>
      </w:r>
      <w:r>
        <w:rPr>
          <w:rFonts w:ascii="Times New Roman"/>
          <w:sz w:val="13"/>
        </w:rPr>
      </w:r>
    </w:p>
    <w:p>
      <w:pPr>
        <w:spacing w:before="77"/>
        <w:ind w:left="104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w w:val="105"/>
        </w:rPr>
        <w:br w:type="column"/>
      </w:r>
      <w:r>
        <w:rPr>
          <w:rFonts w:ascii="Times New Roman"/>
          <w:w w:val="105"/>
          <w:position w:val="-5"/>
          <w:sz w:val="13"/>
        </w:rPr>
        <w:t>3</w:t>
      </w:r>
      <w:r>
        <w:rPr>
          <w:rFonts w:ascii="Times New Roman"/>
          <w:spacing w:val="-2"/>
          <w:w w:val="105"/>
          <w:position w:val="-5"/>
          <w:sz w:val="13"/>
        </w:rPr>
        <w:t> </w:t>
      </w:r>
      <w:r>
        <w:rPr>
          <w:rFonts w:ascii="Times New Roman"/>
          <w:i/>
          <w:spacing w:val="-3"/>
          <w:w w:val="105"/>
          <w:sz w:val="22"/>
        </w:rPr>
        <w:t>AV</w:t>
      </w:r>
      <w:r>
        <w:rPr>
          <w:rFonts w:ascii="Times New Roman"/>
          <w:i/>
          <w:spacing w:val="-3"/>
          <w:w w:val="105"/>
          <w:position w:val="-5"/>
          <w:sz w:val="13"/>
        </w:rPr>
        <w:t>i</w:t>
      </w:r>
      <w:r>
        <w:rPr>
          <w:rFonts w:ascii="Times New Roman"/>
          <w:spacing w:val="-3"/>
          <w:sz w:val="13"/>
        </w:rPr>
      </w:r>
    </w:p>
    <w:p>
      <w:pPr>
        <w:tabs>
          <w:tab w:pos="889" w:val="left" w:leader="none"/>
        </w:tabs>
        <w:spacing w:before="77"/>
        <w:ind w:left="104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w w:val="105"/>
        </w:rPr>
        <w:br w:type="column"/>
      </w:r>
      <w:r>
        <w:rPr>
          <w:rFonts w:ascii="Times New Roman"/>
          <w:w w:val="105"/>
          <w:position w:val="-5"/>
          <w:sz w:val="13"/>
        </w:rPr>
        <w:t>4</w:t>
      </w:r>
      <w:r>
        <w:rPr>
          <w:rFonts w:ascii="Times New Roman"/>
          <w:spacing w:val="-4"/>
          <w:w w:val="105"/>
          <w:position w:val="-5"/>
          <w:sz w:val="13"/>
        </w:rPr>
        <w:t> </w:t>
      </w:r>
      <w:r>
        <w:rPr>
          <w:rFonts w:ascii="Times New Roman"/>
          <w:i/>
          <w:spacing w:val="-3"/>
          <w:w w:val="105"/>
          <w:sz w:val="22"/>
        </w:rPr>
        <w:t>LoD</w:t>
      </w:r>
      <w:r>
        <w:rPr>
          <w:rFonts w:ascii="Times New Roman"/>
          <w:i/>
          <w:spacing w:val="-3"/>
          <w:w w:val="105"/>
          <w:position w:val="-5"/>
          <w:sz w:val="13"/>
        </w:rPr>
        <w:t>i</w:t>
        <w:tab/>
      </w:r>
      <w:r>
        <w:rPr>
          <w:rFonts w:ascii="Times New Roman"/>
          <w:i/>
          <w:spacing w:val="3"/>
          <w:w w:val="105"/>
          <w:sz w:val="22"/>
        </w:rPr>
        <w:t>u</w:t>
      </w:r>
      <w:r>
        <w:rPr>
          <w:rFonts w:ascii="Times New Roman"/>
          <w:i/>
          <w:spacing w:val="3"/>
          <w:w w:val="105"/>
          <w:position w:val="-5"/>
          <w:sz w:val="13"/>
        </w:rPr>
        <w:t>i</w:t>
      </w:r>
      <w:r>
        <w:rPr>
          <w:rFonts w:ascii="Times New Roman"/>
          <w:spacing w:val="3"/>
          <w:sz w:val="13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2240" w:h="15840"/>
          <w:pgMar w:top="520" w:bottom="280" w:left="760" w:right="600"/>
          <w:cols w:num="6" w:equalWidth="0">
            <w:col w:w="1104" w:space="4483"/>
            <w:col w:w="298" w:space="331"/>
            <w:col w:w="1089" w:space="301"/>
            <w:col w:w="639" w:space="296"/>
            <w:col w:w="520" w:space="301"/>
            <w:col w:w="1518"/>
          </w:cols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i/>
          <w:sz w:val="12"/>
          <w:szCs w:val="12"/>
        </w:rPr>
      </w:pPr>
    </w:p>
    <w:p>
      <w:pPr>
        <w:spacing w:line="247" w:lineRule="auto" w:before="0"/>
        <w:ind w:left="104" w:right="1" w:firstLine="0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 w:hAnsi="Arial" w:cs="Arial" w:eastAsia="Arial"/>
          <w:sz w:val="17"/>
          <w:szCs w:val="17"/>
        </w:rPr>
        <w:t>Several variables can reasonably be deemed </w:t>
      </w:r>
      <w:r>
        <w:rPr>
          <w:rFonts w:ascii="Arial" w:hAnsi="Arial" w:cs="Arial" w:eastAsia="Arial"/>
          <w:spacing w:val="2"/>
          <w:sz w:val="17"/>
          <w:szCs w:val="17"/>
        </w:rPr>
        <w:t>to </w:t>
      </w:r>
      <w:r>
        <w:rPr>
          <w:rFonts w:ascii="Arial" w:hAnsi="Arial" w:cs="Arial" w:eastAsia="Arial"/>
          <w:sz w:val="17"/>
          <w:szCs w:val="17"/>
        </w:rPr>
        <w:t>affect sales price</w:t>
      </w:r>
      <w:r>
        <w:rPr>
          <w:rFonts w:ascii="Arial" w:hAnsi="Arial" w:cs="Arial" w:eastAsia="Arial"/>
          <w:spacing w:val="-17"/>
          <w:sz w:val="17"/>
          <w:szCs w:val="17"/>
        </w:rPr>
        <w:t> </w:t>
      </w:r>
      <w:r>
        <w:rPr>
          <w:rFonts w:ascii="Arial" w:hAnsi="Arial" w:cs="Arial" w:eastAsia="Arial"/>
          <w:spacing w:val="-5"/>
          <w:sz w:val="17"/>
          <w:szCs w:val="17"/>
        </w:rPr>
        <w:t>of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timbe</w:t>
      </w:r>
      <w:r>
        <w:rPr>
          <w:rFonts w:ascii="Arial" w:hAnsi="Arial" w:cs="Arial" w:eastAsia="Arial"/>
          <w:sz w:val="17"/>
          <w:szCs w:val="17"/>
        </w:rPr>
        <w:t>r sold by SFE’s in Turkey. Among them are </w:t>
      </w:r>
      <w:r>
        <w:rPr>
          <w:rFonts w:ascii="Arial" w:hAnsi="Arial" w:cs="Arial" w:eastAsia="Arial"/>
          <w:sz w:val="17"/>
          <w:szCs w:val="17"/>
        </w:rPr>
        <w:t>1) number</w:t>
      </w:r>
      <w:r>
        <w:rPr>
          <w:rFonts w:ascii="Arial" w:hAnsi="Arial" w:cs="Arial" w:eastAsia="Arial"/>
          <w:spacing w:val="2"/>
          <w:sz w:val="17"/>
          <w:szCs w:val="17"/>
        </w:rPr>
        <w:t> </w:t>
      </w:r>
      <w:r>
        <w:rPr>
          <w:rFonts w:ascii="Arial" w:hAnsi="Arial" w:cs="Arial" w:eastAsia="Arial"/>
          <w:spacing w:val="-5"/>
          <w:sz w:val="17"/>
          <w:szCs w:val="17"/>
        </w:rPr>
        <w:t>of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6"/>
          <w:szCs w:val="16"/>
        </w:rPr>
        <w:t>bidders</w:t>
      </w:r>
      <w:r>
        <w:rPr>
          <w:rFonts w:ascii="Arial" w:hAnsi="Arial" w:cs="Arial" w:eastAsia="Arial"/>
          <w:spacing w:val="25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in</w:t>
      </w:r>
      <w:r>
        <w:rPr>
          <w:rFonts w:ascii="Arial" w:hAnsi="Arial" w:cs="Arial" w:eastAsia="Arial"/>
          <w:spacing w:val="13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the</w:t>
      </w:r>
      <w:r>
        <w:rPr>
          <w:rFonts w:ascii="Arial" w:hAnsi="Arial" w:cs="Arial" w:eastAsia="Arial"/>
          <w:spacing w:val="18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auction,</w:t>
      </w:r>
      <w:r>
        <w:rPr>
          <w:rFonts w:ascii="Arial" w:hAnsi="Arial" w:cs="Arial" w:eastAsia="Arial"/>
          <w:spacing w:val="2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2)</w:t>
      </w:r>
      <w:r>
        <w:rPr>
          <w:rFonts w:ascii="Arial" w:hAnsi="Arial" w:cs="Arial" w:eastAsia="Arial"/>
          <w:spacing w:val="2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number</w:t>
      </w:r>
      <w:r>
        <w:rPr>
          <w:rFonts w:ascii="Arial" w:hAnsi="Arial" w:cs="Arial" w:eastAsia="Arial"/>
          <w:spacing w:val="2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of</w:t>
      </w:r>
      <w:r>
        <w:rPr>
          <w:rFonts w:ascii="Arial" w:hAnsi="Arial" w:cs="Arial" w:eastAsia="Arial"/>
          <w:spacing w:val="2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years</w:t>
      </w:r>
      <w:r>
        <w:rPr>
          <w:rFonts w:ascii="Arial" w:hAnsi="Arial" w:cs="Arial" w:eastAsia="Arial"/>
          <w:spacing w:val="25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after</w:t>
      </w:r>
      <w:r>
        <w:rPr>
          <w:rFonts w:ascii="Arial" w:hAnsi="Arial" w:cs="Arial" w:eastAsia="Arial"/>
          <w:spacing w:val="2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harvest</w:t>
      </w:r>
      <w:r>
        <w:rPr>
          <w:rFonts w:ascii="Arial" w:hAnsi="Arial" w:cs="Arial" w:eastAsia="Arial"/>
          <w:spacing w:val="24"/>
          <w:sz w:val="16"/>
          <w:szCs w:val="16"/>
        </w:rPr>
        <w:t> </w:t>
      </w:r>
      <w:r>
        <w:rPr>
          <w:rFonts w:ascii="Arial" w:hAnsi="Arial" w:cs="Arial" w:eastAsia="Arial"/>
          <w:spacing w:val="-4"/>
          <w:sz w:val="16"/>
          <w:szCs w:val="16"/>
        </w:rPr>
        <w:t>of</w:t>
      </w:r>
      <w:r>
        <w:rPr>
          <w:rFonts w:ascii="Arial" w:hAnsi="Arial" w:cs="Arial" w:eastAsia="Arial"/>
          <w:spacing w:val="2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timber,</w:t>
      </w:r>
      <w:r>
        <w:rPr>
          <w:rFonts w:ascii="Arial" w:hAnsi="Arial" w:cs="Arial" w:eastAsia="Arial"/>
          <w:spacing w:val="36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3)</w:t>
      </w:r>
      <w:r>
        <w:rPr>
          <w:rFonts w:ascii="Arial" w:hAnsi="Arial" w:cs="Arial" w:eastAsia="Arial"/>
          <w:spacing w:val="-33"/>
          <w:sz w:val="16"/>
          <w:szCs w:val="16"/>
        </w:rPr>
        <w:t> </w:t>
      </w:r>
      <w:r>
        <w:rPr>
          <w:rFonts w:ascii="Arial" w:hAnsi="Arial" w:cs="Arial" w:eastAsia="Arial"/>
          <w:spacing w:val="-33"/>
          <w:sz w:val="16"/>
          <w:szCs w:val="16"/>
        </w:rPr>
      </w:r>
      <w:r>
        <w:rPr>
          <w:rFonts w:ascii="Arial" w:hAnsi="Arial" w:cs="Arial" w:eastAsia="Arial"/>
          <w:sz w:val="17"/>
          <w:szCs w:val="17"/>
        </w:rPr>
        <w:t>appraised value (the starting price in the open ascending</w:t>
      </w:r>
      <w:r>
        <w:rPr>
          <w:rFonts w:ascii="Arial" w:hAnsi="Arial" w:cs="Arial" w:eastAsia="Arial"/>
          <w:spacing w:val="25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price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auction), 4) damage level </w:t>
      </w:r>
      <w:r>
        <w:rPr>
          <w:rFonts w:ascii="Arial" w:hAnsi="Arial" w:cs="Arial" w:eastAsia="Arial"/>
          <w:spacing w:val="-5"/>
          <w:sz w:val="17"/>
          <w:szCs w:val="17"/>
        </w:rPr>
        <w:t>of </w:t>
      </w:r>
      <w:r>
        <w:rPr>
          <w:rFonts w:ascii="Arial" w:hAnsi="Arial" w:cs="Arial" w:eastAsia="Arial"/>
          <w:sz w:val="17"/>
          <w:szCs w:val="17"/>
        </w:rPr>
        <w:t>a particular timber party, and 5) type</w:t>
      </w:r>
      <w:r>
        <w:rPr>
          <w:rFonts w:ascii="Arial" w:hAnsi="Arial" w:cs="Arial" w:eastAsia="Arial"/>
          <w:spacing w:val="32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of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6"/>
          <w:szCs w:val="16"/>
        </w:rPr>
        <w:t>timber</w:t>
      </w:r>
      <w:r>
        <w:rPr>
          <w:rFonts w:ascii="Arial" w:hAnsi="Arial" w:cs="Arial" w:eastAsia="Arial"/>
          <w:spacing w:val="36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product</w:t>
      </w:r>
      <w:r>
        <w:rPr>
          <w:rFonts w:ascii="Arial" w:hAnsi="Arial" w:cs="Arial" w:eastAsia="Arial"/>
          <w:spacing w:val="29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specified</w:t>
      </w:r>
      <w:r>
        <w:rPr>
          <w:rFonts w:ascii="Arial" w:hAnsi="Arial" w:cs="Arial" w:eastAsia="Arial"/>
          <w:spacing w:val="3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by</w:t>
      </w:r>
      <w:r>
        <w:rPr>
          <w:rFonts w:ascii="Arial" w:hAnsi="Arial" w:cs="Arial" w:eastAsia="Arial"/>
          <w:spacing w:val="3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grade,</w:t>
      </w:r>
      <w:r>
        <w:rPr>
          <w:rFonts w:ascii="Arial" w:hAnsi="Arial" w:cs="Arial" w:eastAsia="Arial"/>
          <w:spacing w:val="4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length</w:t>
      </w:r>
      <w:r>
        <w:rPr>
          <w:rFonts w:ascii="Arial" w:hAnsi="Arial" w:cs="Arial" w:eastAsia="Arial"/>
          <w:spacing w:val="37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and</w:t>
      </w:r>
      <w:r>
        <w:rPr>
          <w:rFonts w:ascii="Arial" w:hAnsi="Arial" w:cs="Arial" w:eastAsia="Arial"/>
          <w:spacing w:val="3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diameter</w:t>
      </w:r>
      <w:r>
        <w:rPr>
          <w:rFonts w:ascii="Arial" w:hAnsi="Arial" w:cs="Arial" w:eastAsia="Arial"/>
          <w:spacing w:val="2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of</w:t>
      </w:r>
      <w:r>
        <w:rPr>
          <w:rFonts w:ascii="Arial" w:hAnsi="Arial" w:cs="Arial" w:eastAsia="Arial"/>
          <w:spacing w:val="3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logs</w:t>
      </w:r>
      <w:r>
        <w:rPr>
          <w:rFonts w:ascii="Arial" w:hAnsi="Arial" w:cs="Arial" w:eastAsia="Arial"/>
          <w:spacing w:val="36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in</w:t>
      </w:r>
      <w:r>
        <w:rPr>
          <w:rFonts w:ascii="Arial" w:hAnsi="Arial" w:cs="Arial" w:eastAsia="Arial"/>
          <w:spacing w:val="3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a</w:t>
      </w:r>
      <w:r>
        <w:rPr>
          <w:rFonts w:ascii="Arial" w:hAnsi="Arial" w:cs="Arial" w:eastAsia="Arial"/>
          <w:spacing w:val="-36"/>
          <w:sz w:val="16"/>
          <w:szCs w:val="16"/>
        </w:rPr>
        <w:t> </w:t>
      </w:r>
      <w:r>
        <w:rPr>
          <w:rFonts w:ascii="Arial" w:hAnsi="Arial" w:cs="Arial" w:eastAsia="Arial"/>
          <w:spacing w:val="-36"/>
          <w:sz w:val="16"/>
          <w:szCs w:val="16"/>
        </w:rPr>
      </w:r>
      <w:r>
        <w:rPr>
          <w:rFonts w:ascii="Arial" w:hAnsi="Arial" w:cs="Arial" w:eastAsia="Arial"/>
          <w:sz w:val="16"/>
          <w:szCs w:val="16"/>
        </w:rPr>
        <w:t>party.</w:t>
      </w:r>
      <w:r>
        <w:rPr>
          <w:rFonts w:ascii="Arial" w:hAnsi="Arial" w:cs="Arial" w:eastAsia="Arial"/>
          <w:spacing w:val="15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In</w:t>
      </w:r>
      <w:r>
        <w:rPr>
          <w:rFonts w:ascii="Arial" w:hAnsi="Arial" w:cs="Arial" w:eastAsia="Arial"/>
          <w:spacing w:val="18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practice,</w:t>
      </w:r>
      <w:r>
        <w:rPr>
          <w:rFonts w:ascii="Arial" w:hAnsi="Arial" w:cs="Arial" w:eastAsia="Arial"/>
          <w:spacing w:val="2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however,</w:t>
      </w:r>
      <w:r>
        <w:rPr>
          <w:rFonts w:ascii="Arial" w:hAnsi="Arial" w:cs="Arial" w:eastAsia="Arial"/>
          <w:spacing w:val="2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appraised</w:t>
      </w:r>
      <w:r>
        <w:rPr>
          <w:rFonts w:ascii="Arial" w:hAnsi="Arial" w:cs="Arial" w:eastAsia="Arial"/>
          <w:spacing w:val="18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value</w:t>
      </w:r>
      <w:r>
        <w:rPr>
          <w:rFonts w:ascii="Arial" w:hAnsi="Arial" w:cs="Arial" w:eastAsia="Arial"/>
          <w:spacing w:val="18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is</w:t>
      </w:r>
      <w:r>
        <w:rPr>
          <w:rFonts w:ascii="Arial" w:hAnsi="Arial" w:cs="Arial" w:eastAsia="Arial"/>
          <w:spacing w:val="16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known</w:t>
      </w:r>
      <w:r>
        <w:rPr>
          <w:rFonts w:ascii="Arial" w:hAnsi="Arial" w:cs="Arial" w:eastAsia="Arial"/>
          <w:spacing w:val="1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to</w:t>
      </w:r>
      <w:r>
        <w:rPr>
          <w:rFonts w:ascii="Arial" w:hAnsi="Arial" w:cs="Arial" w:eastAsia="Arial"/>
          <w:spacing w:val="1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depend</w:t>
      </w:r>
      <w:r>
        <w:rPr>
          <w:rFonts w:ascii="Arial" w:hAnsi="Arial" w:cs="Arial" w:eastAsia="Arial"/>
          <w:spacing w:val="-35"/>
          <w:sz w:val="16"/>
          <w:szCs w:val="16"/>
        </w:rPr>
        <w:t> </w:t>
      </w:r>
      <w:r>
        <w:rPr>
          <w:rFonts w:ascii="Arial" w:hAnsi="Arial" w:cs="Arial" w:eastAsia="Arial"/>
          <w:spacing w:val="-35"/>
          <w:sz w:val="16"/>
          <w:szCs w:val="16"/>
        </w:rPr>
      </w:r>
      <w:r>
        <w:rPr>
          <w:rFonts w:ascii="Arial" w:hAnsi="Arial" w:cs="Arial" w:eastAsia="Arial"/>
          <w:sz w:val="16"/>
          <w:szCs w:val="16"/>
        </w:rPr>
        <w:t>“heavily”</w:t>
      </w:r>
      <w:r>
        <w:rPr>
          <w:rFonts w:ascii="Arial" w:hAnsi="Arial" w:cs="Arial" w:eastAsia="Arial"/>
          <w:spacing w:val="3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upon</w:t>
      </w:r>
      <w:r>
        <w:rPr>
          <w:rFonts w:ascii="Arial" w:hAnsi="Arial" w:cs="Arial" w:eastAsia="Arial"/>
          <w:spacing w:val="36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product</w:t>
      </w:r>
      <w:r>
        <w:rPr>
          <w:rFonts w:ascii="Arial" w:hAnsi="Arial" w:cs="Arial" w:eastAsia="Arial"/>
          <w:spacing w:val="27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t</w:t>
      </w:r>
      <w:r>
        <w:rPr>
          <w:rFonts w:ascii="Arial" w:hAnsi="Arial" w:cs="Arial" w:eastAsia="Arial"/>
          <w:sz w:val="16"/>
          <w:szCs w:val="16"/>
        </w:rPr>
        <w:t>ype,</w:t>
      </w:r>
      <w:r>
        <w:rPr>
          <w:rFonts w:ascii="Arial" w:hAnsi="Arial" w:cs="Arial" w:eastAsia="Arial"/>
          <w:spacing w:val="27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that</w:t>
      </w:r>
      <w:r>
        <w:rPr>
          <w:rFonts w:ascii="Arial" w:hAnsi="Arial" w:cs="Arial" w:eastAsia="Arial"/>
          <w:spacing w:val="3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is,</w:t>
      </w:r>
      <w:r>
        <w:rPr>
          <w:rFonts w:ascii="Arial" w:hAnsi="Arial" w:cs="Arial" w:eastAsia="Arial"/>
          <w:spacing w:val="3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a</w:t>
      </w:r>
      <w:r>
        <w:rPr>
          <w:rFonts w:ascii="Arial" w:hAnsi="Arial" w:cs="Arial" w:eastAsia="Arial"/>
          <w:spacing w:val="29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probable</w:t>
      </w:r>
      <w:r>
        <w:rPr>
          <w:rFonts w:ascii="Arial" w:hAnsi="Arial" w:cs="Arial" w:eastAsia="Arial"/>
          <w:spacing w:val="22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collinearity,</w:t>
      </w:r>
      <w:r>
        <w:rPr>
          <w:rFonts w:ascii="Arial" w:hAnsi="Arial" w:cs="Arial" w:eastAsia="Arial"/>
          <w:spacing w:val="3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which</w:t>
      </w:r>
      <w:r>
        <w:rPr>
          <w:rFonts w:ascii="Arial" w:hAnsi="Arial" w:cs="Arial" w:eastAsia="Arial"/>
          <w:spacing w:val="29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is</w:t>
      </w:r>
      <w:r>
        <w:rPr>
          <w:rFonts w:ascii="Arial" w:hAnsi="Arial" w:cs="Arial" w:eastAsia="Arial"/>
          <w:spacing w:val="-30"/>
          <w:sz w:val="16"/>
          <w:szCs w:val="16"/>
        </w:rPr>
        <w:t> </w:t>
      </w:r>
      <w:r>
        <w:rPr>
          <w:rFonts w:ascii="Arial" w:hAnsi="Arial" w:cs="Arial" w:eastAsia="Arial"/>
          <w:spacing w:val="-30"/>
          <w:sz w:val="16"/>
          <w:szCs w:val="16"/>
        </w:rPr>
      </w:r>
      <w:r>
        <w:rPr>
          <w:rFonts w:ascii="Arial" w:hAnsi="Arial" w:cs="Arial" w:eastAsia="Arial"/>
          <w:sz w:val="16"/>
          <w:szCs w:val="16"/>
        </w:rPr>
        <w:t>examined by a bivariate (pair-wise) correlation analysis.  Having</w:t>
      </w:r>
      <w:r>
        <w:rPr>
          <w:rFonts w:ascii="Arial" w:hAnsi="Arial" w:cs="Arial" w:eastAsia="Arial"/>
          <w:spacing w:val="-21"/>
          <w:sz w:val="16"/>
          <w:szCs w:val="16"/>
        </w:rPr>
        <w:t> </w:t>
      </w:r>
      <w:r>
        <w:rPr>
          <w:rFonts w:ascii="Arial" w:hAnsi="Arial" w:cs="Arial" w:eastAsia="Arial"/>
          <w:spacing w:val="-21"/>
          <w:sz w:val="16"/>
          <w:szCs w:val="16"/>
        </w:rPr>
      </w:r>
      <w:r>
        <w:rPr>
          <w:rFonts w:ascii="Arial" w:hAnsi="Arial" w:cs="Arial" w:eastAsia="Arial"/>
          <w:sz w:val="17"/>
          <w:szCs w:val="17"/>
        </w:rPr>
        <w:t>dropped </w:t>
      </w:r>
      <w:r>
        <w:rPr>
          <w:rFonts w:ascii="Arial" w:hAnsi="Arial" w:cs="Arial" w:eastAsia="Arial"/>
          <w:spacing w:val="2"/>
          <w:sz w:val="17"/>
          <w:szCs w:val="17"/>
        </w:rPr>
        <w:t>the </w:t>
      </w:r>
      <w:r>
        <w:rPr>
          <w:rFonts w:ascii="Arial" w:hAnsi="Arial" w:cs="Arial" w:eastAsia="Arial"/>
          <w:sz w:val="17"/>
          <w:szCs w:val="17"/>
        </w:rPr>
        <w:t>fifth explanatory variable, we further followed</w:t>
      </w:r>
      <w:r>
        <w:rPr>
          <w:rFonts w:ascii="Arial" w:hAnsi="Arial" w:cs="Arial" w:eastAsia="Arial"/>
          <w:spacing w:val="43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the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6"/>
          <w:szCs w:val="16"/>
        </w:rPr>
        <w:t>recommendation by Gujarati and Porter (2009) for detecting multi-</w:t>
      </w:r>
      <w:r>
        <w:rPr>
          <w:rFonts w:ascii="Arial" w:hAnsi="Arial" w:cs="Arial" w:eastAsia="Arial"/>
          <w:spacing w:val="5"/>
          <w:sz w:val="16"/>
          <w:szCs w:val="16"/>
        </w:rPr>
        <w:t> </w:t>
      </w:r>
      <w:r>
        <w:rPr>
          <w:rFonts w:ascii="Arial" w:hAnsi="Arial" w:cs="Arial" w:eastAsia="Arial"/>
          <w:spacing w:val="5"/>
          <w:sz w:val="16"/>
          <w:szCs w:val="16"/>
        </w:rPr>
      </w:r>
      <w:r>
        <w:rPr>
          <w:rFonts w:ascii="Arial" w:hAnsi="Arial" w:cs="Arial" w:eastAsia="Arial"/>
          <w:sz w:val="17"/>
          <w:szCs w:val="17"/>
        </w:rPr>
        <w:t>collinearity among </w:t>
      </w:r>
      <w:r>
        <w:rPr>
          <w:rFonts w:ascii="Arial" w:hAnsi="Arial" w:cs="Arial" w:eastAsia="Arial"/>
          <w:spacing w:val="2"/>
          <w:sz w:val="17"/>
          <w:szCs w:val="17"/>
        </w:rPr>
        <w:t>the </w:t>
      </w:r>
      <w:r>
        <w:rPr>
          <w:rFonts w:ascii="Arial" w:hAnsi="Arial" w:cs="Arial" w:eastAsia="Arial"/>
          <w:sz w:val="17"/>
          <w:szCs w:val="17"/>
        </w:rPr>
        <w:t>remaining four explanatory variables</w:t>
      </w:r>
      <w:r>
        <w:rPr>
          <w:rFonts w:ascii="Arial" w:hAnsi="Arial" w:cs="Arial" w:eastAsia="Arial"/>
          <w:spacing w:val="5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through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auxiliary regressions </w:t>
      </w:r>
      <w:r>
        <w:rPr>
          <w:rFonts w:ascii="Arial" w:hAnsi="Arial" w:cs="Arial" w:eastAsia="Arial"/>
          <w:spacing w:val="-5"/>
          <w:sz w:val="17"/>
          <w:szCs w:val="17"/>
        </w:rPr>
        <w:t>as </w:t>
      </w:r>
      <w:r>
        <w:rPr>
          <w:rFonts w:ascii="Arial" w:hAnsi="Arial" w:cs="Arial" w:eastAsia="Arial"/>
          <w:sz w:val="17"/>
          <w:szCs w:val="17"/>
        </w:rPr>
        <w:t>well </w:t>
      </w:r>
      <w:r>
        <w:rPr>
          <w:rFonts w:ascii="Arial" w:hAnsi="Arial" w:cs="Arial" w:eastAsia="Arial"/>
          <w:spacing w:val="-3"/>
          <w:sz w:val="17"/>
          <w:szCs w:val="17"/>
        </w:rPr>
        <w:t>in </w:t>
      </w:r>
      <w:r>
        <w:rPr>
          <w:rFonts w:ascii="Arial" w:hAnsi="Arial" w:cs="Arial" w:eastAsia="Arial"/>
          <w:sz w:val="17"/>
          <w:szCs w:val="17"/>
        </w:rPr>
        <w:t>order </w:t>
      </w:r>
      <w:r>
        <w:rPr>
          <w:rFonts w:ascii="Arial" w:hAnsi="Arial" w:cs="Arial" w:eastAsia="Arial"/>
          <w:spacing w:val="2"/>
          <w:sz w:val="17"/>
          <w:szCs w:val="17"/>
        </w:rPr>
        <w:t>to </w:t>
      </w:r>
      <w:r>
        <w:rPr>
          <w:rFonts w:ascii="Arial" w:hAnsi="Arial" w:cs="Arial" w:eastAsia="Arial"/>
          <w:sz w:val="17"/>
          <w:szCs w:val="17"/>
        </w:rPr>
        <w:t>finalize </w:t>
      </w:r>
      <w:r>
        <w:rPr>
          <w:rFonts w:ascii="Arial" w:hAnsi="Arial" w:cs="Arial" w:eastAsia="Arial"/>
          <w:spacing w:val="2"/>
          <w:sz w:val="17"/>
          <w:szCs w:val="17"/>
        </w:rPr>
        <w:t>the </w:t>
      </w:r>
      <w:r>
        <w:rPr>
          <w:rFonts w:ascii="Arial" w:hAnsi="Arial" w:cs="Arial" w:eastAsia="Arial"/>
          <w:sz w:val="17"/>
          <w:szCs w:val="17"/>
        </w:rPr>
        <w:t>set </w:t>
      </w:r>
      <w:r>
        <w:rPr>
          <w:rFonts w:ascii="Arial" w:hAnsi="Arial" w:cs="Arial" w:eastAsia="Arial"/>
          <w:spacing w:val="-5"/>
          <w:sz w:val="17"/>
          <w:szCs w:val="17"/>
        </w:rPr>
        <w:t>of</w:t>
      </w:r>
      <w:r>
        <w:rPr>
          <w:rFonts w:ascii="Arial" w:hAnsi="Arial" w:cs="Arial" w:eastAsia="Arial"/>
          <w:spacing w:val="21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explana-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tory</w:t>
      </w:r>
      <w:r>
        <w:rPr>
          <w:rFonts w:ascii="Arial" w:hAnsi="Arial" w:cs="Arial" w:eastAsia="Arial"/>
          <w:spacing w:val="26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variables</w:t>
      </w:r>
      <w:r>
        <w:rPr>
          <w:rFonts w:ascii="Arial" w:hAnsi="Arial" w:cs="Arial" w:eastAsia="Arial"/>
          <w:spacing w:val="31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(that</w:t>
      </w:r>
      <w:r>
        <w:rPr>
          <w:rFonts w:ascii="Arial" w:hAnsi="Arial" w:cs="Arial" w:eastAsia="Arial"/>
          <w:spacing w:val="30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is,</w:t>
      </w:r>
      <w:r>
        <w:rPr>
          <w:rFonts w:ascii="Arial" w:hAnsi="Arial" w:cs="Arial" w:eastAsia="Arial"/>
          <w:spacing w:val="31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regressors).</w:t>
      </w:r>
      <w:r>
        <w:rPr>
          <w:rFonts w:ascii="Arial" w:hAnsi="Arial" w:cs="Arial" w:eastAsia="Arial"/>
          <w:spacing w:val="30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To</w:t>
      </w:r>
      <w:r>
        <w:rPr>
          <w:rFonts w:ascii="Arial" w:hAnsi="Arial" w:cs="Arial" w:eastAsia="Arial"/>
          <w:spacing w:val="22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that</w:t>
      </w:r>
      <w:r>
        <w:rPr>
          <w:rFonts w:ascii="Arial" w:hAnsi="Arial" w:cs="Arial" w:eastAsia="Arial"/>
          <w:spacing w:val="34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end,</w:t>
      </w:r>
      <w:r>
        <w:rPr>
          <w:rFonts w:ascii="Arial" w:hAnsi="Arial" w:cs="Arial" w:eastAsia="Arial"/>
          <w:spacing w:val="34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each</w:t>
      </w:r>
      <w:r>
        <w:rPr>
          <w:rFonts w:ascii="Arial" w:hAnsi="Arial" w:cs="Arial" w:eastAsia="Arial"/>
          <w:spacing w:val="31"/>
          <w:sz w:val="17"/>
          <w:szCs w:val="17"/>
        </w:rPr>
        <w:t> </w:t>
      </w:r>
      <w:r>
        <w:rPr>
          <w:rFonts w:ascii="Arial" w:hAnsi="Arial" w:cs="Arial" w:eastAsia="Arial"/>
          <w:spacing w:val="-5"/>
          <w:sz w:val="17"/>
          <w:szCs w:val="17"/>
        </w:rPr>
        <w:t>of</w:t>
      </w:r>
      <w:r>
        <w:rPr>
          <w:rFonts w:ascii="Arial" w:hAnsi="Arial" w:cs="Arial" w:eastAsia="Arial"/>
          <w:spacing w:val="30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the</w:t>
      </w:r>
      <w:r>
        <w:rPr>
          <w:rFonts w:ascii="Arial" w:hAnsi="Arial" w:cs="Arial" w:eastAsia="Arial"/>
          <w:spacing w:val="26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four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proposed   explanatory  variable  </w:t>
      </w:r>
      <w:r>
        <w:rPr>
          <w:rFonts w:ascii="Arial" w:hAnsi="Arial" w:cs="Arial" w:eastAsia="Arial"/>
          <w:spacing w:val="-3"/>
          <w:sz w:val="17"/>
          <w:szCs w:val="17"/>
        </w:rPr>
        <w:t>is   </w:t>
      </w:r>
      <w:r>
        <w:rPr>
          <w:rFonts w:ascii="Arial" w:hAnsi="Arial" w:cs="Arial" w:eastAsia="Arial"/>
          <w:sz w:val="17"/>
          <w:szCs w:val="17"/>
        </w:rPr>
        <w:t>regressed  on  </w:t>
      </w:r>
      <w:r>
        <w:rPr>
          <w:rFonts w:ascii="Arial" w:hAnsi="Arial" w:cs="Arial" w:eastAsia="Arial"/>
          <w:spacing w:val="2"/>
          <w:sz w:val="17"/>
          <w:szCs w:val="17"/>
        </w:rPr>
        <w:t>the  </w:t>
      </w:r>
      <w:r>
        <w:rPr>
          <w:rFonts w:ascii="Arial" w:hAnsi="Arial" w:cs="Arial" w:eastAsia="Arial"/>
          <w:spacing w:val="47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remaining</w:t>
      </w:r>
    </w:p>
    <w:p>
      <w:pPr>
        <w:spacing w:line="191" w:lineRule="exact" w:before="0"/>
        <w:ind w:left="104" w:right="0" w:firstLine="0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 w:hAnsi="Arial" w:cs="Arial" w:eastAsia="Arial"/>
          <w:sz w:val="17"/>
          <w:szCs w:val="17"/>
        </w:rPr>
        <w:t>explanatory  variables,  and the corresponding  </w:t>
      </w:r>
      <w:r>
        <w:rPr>
          <w:rFonts w:ascii="Arial" w:hAnsi="Arial" w:cs="Arial" w:eastAsia="Arial"/>
          <w:i/>
          <w:sz w:val="17"/>
          <w:szCs w:val="17"/>
        </w:rPr>
        <w:t>R</w:t>
      </w:r>
      <w:r>
        <w:rPr>
          <w:rFonts w:ascii="Arial" w:hAnsi="Arial" w:cs="Arial" w:eastAsia="Arial"/>
          <w:i/>
          <w:position w:val="8"/>
          <w:sz w:val="11"/>
          <w:szCs w:val="11"/>
        </w:rPr>
        <w:t>2</w:t>
      </w:r>
      <w:r>
        <w:rPr>
          <w:rFonts w:ascii="Arial" w:hAnsi="Arial" w:cs="Arial" w:eastAsia="Arial"/>
          <w:sz w:val="17"/>
          <w:szCs w:val="17"/>
        </w:rPr>
        <w:t>’s  computed</w:t>
      </w:r>
      <w:r>
        <w:rPr>
          <w:rFonts w:ascii="Arial" w:hAnsi="Arial" w:cs="Arial" w:eastAsia="Arial"/>
          <w:spacing w:val="23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and</w:t>
      </w:r>
    </w:p>
    <w:p>
      <w:pPr>
        <w:spacing w:line="254" w:lineRule="auto" w:before="11"/>
        <w:ind w:left="104" w:right="1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w w:val="105"/>
          <w:sz w:val="16"/>
        </w:rPr>
        <w:t>compared with the original price model. Finally, eigenvalues</w:t>
      </w:r>
      <w:r>
        <w:rPr>
          <w:rFonts w:ascii="Arial"/>
          <w:spacing w:val="33"/>
          <w:w w:val="105"/>
          <w:sz w:val="16"/>
        </w:rPr>
        <w:t> </w:t>
      </w:r>
      <w:r>
        <w:rPr>
          <w:rFonts w:ascii="Arial"/>
          <w:w w:val="105"/>
          <w:sz w:val="16"/>
        </w:rPr>
        <w:t>(hence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6"/>
        </w:rPr>
        <w:t>condition indices) and other measures of </w:t>
      </w:r>
      <w:r>
        <w:rPr>
          <w:rFonts w:ascii="Arial"/>
          <w:spacing w:val="25"/>
          <w:w w:val="105"/>
          <w:sz w:val="16"/>
        </w:rPr>
        <w:t> </w:t>
      </w:r>
      <w:r>
        <w:rPr>
          <w:rFonts w:ascii="Arial"/>
          <w:w w:val="105"/>
          <w:sz w:val="16"/>
        </w:rPr>
        <w:t>multicollinearity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6"/>
        </w:rPr>
        <w:t>diagnostics are examined as</w:t>
      </w:r>
      <w:r>
        <w:rPr>
          <w:rFonts w:ascii="Arial"/>
          <w:spacing w:val="4"/>
          <w:w w:val="105"/>
          <w:sz w:val="16"/>
        </w:rPr>
        <w:t> </w:t>
      </w:r>
      <w:r>
        <w:rPr>
          <w:rFonts w:ascii="Arial"/>
          <w:w w:val="105"/>
          <w:sz w:val="16"/>
        </w:rPr>
        <w:t>well.</w:t>
      </w:r>
      <w:r>
        <w:rPr>
          <w:rFonts w:ascii="Arial"/>
          <w:sz w:val="16"/>
        </w:rPr>
      </w:r>
    </w:p>
    <w:p>
      <w:pPr>
        <w:spacing w:line="254" w:lineRule="auto" w:before="2"/>
        <w:ind w:left="104" w:right="0" w:firstLine="182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w w:val="105"/>
          <w:sz w:val="16"/>
        </w:rPr>
        <w:t>Ultimately, we hypothesize that the sales price </w:t>
      </w:r>
      <w:r>
        <w:rPr>
          <w:rFonts w:ascii="Arial"/>
          <w:spacing w:val="-4"/>
          <w:w w:val="105"/>
          <w:sz w:val="16"/>
        </w:rPr>
        <w:t>of </w:t>
      </w:r>
      <w:r>
        <w:rPr>
          <w:rFonts w:ascii="Arial"/>
          <w:w w:val="105"/>
          <w:sz w:val="16"/>
        </w:rPr>
        <w:t>timber may</w:t>
      </w:r>
      <w:r>
        <w:rPr>
          <w:rFonts w:ascii="Arial"/>
          <w:spacing w:val="8"/>
          <w:w w:val="105"/>
          <w:sz w:val="16"/>
        </w:rPr>
        <w:t> </w:t>
      </w:r>
      <w:r>
        <w:rPr>
          <w:rFonts w:ascii="Arial"/>
          <w:spacing w:val="2"/>
          <w:w w:val="105"/>
          <w:sz w:val="16"/>
        </w:rPr>
        <w:t>rea-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6"/>
        </w:rPr>
        <w:t>sonably</w:t>
      </w:r>
      <w:r>
        <w:rPr>
          <w:rFonts w:ascii="Arial"/>
          <w:spacing w:val="13"/>
          <w:w w:val="105"/>
          <w:sz w:val="16"/>
        </w:rPr>
        <w:t> </w:t>
      </w:r>
      <w:r>
        <w:rPr>
          <w:rFonts w:ascii="Arial"/>
          <w:w w:val="105"/>
          <w:sz w:val="16"/>
        </w:rPr>
        <w:t>be</w:t>
      </w:r>
      <w:r>
        <w:rPr>
          <w:rFonts w:ascii="Arial"/>
          <w:spacing w:val="18"/>
          <w:w w:val="105"/>
          <w:sz w:val="16"/>
        </w:rPr>
        <w:t> </w:t>
      </w:r>
      <w:r>
        <w:rPr>
          <w:rFonts w:ascii="Arial"/>
          <w:w w:val="105"/>
          <w:sz w:val="16"/>
        </w:rPr>
        <w:t>deemed</w:t>
      </w:r>
      <w:r>
        <w:rPr>
          <w:rFonts w:ascii="Arial"/>
          <w:spacing w:val="20"/>
          <w:w w:val="105"/>
          <w:sz w:val="16"/>
        </w:rPr>
        <w:t> </w:t>
      </w:r>
      <w:r>
        <w:rPr>
          <w:rFonts w:ascii="Arial"/>
          <w:w w:val="105"/>
          <w:sz w:val="16"/>
        </w:rPr>
        <w:t>as</w:t>
      </w:r>
      <w:r>
        <w:rPr>
          <w:rFonts w:ascii="Arial"/>
          <w:spacing w:val="22"/>
          <w:w w:val="105"/>
          <w:sz w:val="16"/>
        </w:rPr>
        <w:t> </w:t>
      </w:r>
      <w:r>
        <w:rPr>
          <w:rFonts w:ascii="Arial"/>
          <w:w w:val="105"/>
          <w:sz w:val="16"/>
        </w:rPr>
        <w:t>a</w:t>
      </w:r>
      <w:r>
        <w:rPr>
          <w:rFonts w:ascii="Arial"/>
          <w:spacing w:val="8"/>
          <w:w w:val="105"/>
          <w:sz w:val="16"/>
        </w:rPr>
        <w:t> </w:t>
      </w:r>
      <w:r>
        <w:rPr>
          <w:rFonts w:ascii="Arial"/>
          <w:w w:val="105"/>
          <w:sz w:val="16"/>
        </w:rPr>
        <w:t>function</w:t>
      </w:r>
      <w:r>
        <w:rPr>
          <w:rFonts w:ascii="Arial"/>
          <w:spacing w:val="18"/>
          <w:w w:val="105"/>
          <w:sz w:val="16"/>
        </w:rPr>
        <w:t> </w:t>
      </w:r>
      <w:r>
        <w:rPr>
          <w:rFonts w:ascii="Arial"/>
          <w:spacing w:val="-4"/>
          <w:w w:val="105"/>
          <w:sz w:val="16"/>
        </w:rPr>
        <w:t>of</w:t>
      </w:r>
      <w:r>
        <w:rPr>
          <w:rFonts w:ascii="Arial"/>
          <w:spacing w:val="16"/>
          <w:w w:val="105"/>
          <w:sz w:val="16"/>
        </w:rPr>
        <w:t> </w:t>
      </w:r>
      <w:r>
        <w:rPr>
          <w:rFonts w:ascii="Arial"/>
          <w:w w:val="105"/>
          <w:sz w:val="16"/>
        </w:rPr>
        <w:t>the</w:t>
      </w:r>
      <w:r>
        <w:rPr>
          <w:rFonts w:ascii="Arial"/>
          <w:spacing w:val="13"/>
          <w:w w:val="105"/>
          <w:sz w:val="16"/>
        </w:rPr>
        <w:t> </w:t>
      </w:r>
      <w:r>
        <w:rPr>
          <w:rFonts w:ascii="Arial"/>
          <w:w w:val="105"/>
          <w:sz w:val="16"/>
        </w:rPr>
        <w:t>first</w:t>
      </w:r>
      <w:r>
        <w:rPr>
          <w:rFonts w:ascii="Arial"/>
          <w:spacing w:val="16"/>
          <w:w w:val="105"/>
          <w:sz w:val="16"/>
        </w:rPr>
        <w:t> </w:t>
      </w:r>
      <w:r>
        <w:rPr>
          <w:rFonts w:ascii="Arial"/>
          <w:w w:val="105"/>
          <w:sz w:val="16"/>
        </w:rPr>
        <w:t>four</w:t>
      </w:r>
      <w:r>
        <w:rPr>
          <w:rFonts w:ascii="Arial"/>
          <w:spacing w:val="17"/>
          <w:w w:val="105"/>
          <w:sz w:val="16"/>
        </w:rPr>
        <w:t> </w:t>
      </w:r>
      <w:r>
        <w:rPr>
          <w:rFonts w:ascii="Arial"/>
          <w:w w:val="105"/>
          <w:sz w:val="16"/>
        </w:rPr>
        <w:t>variables</w:t>
      </w:r>
      <w:r>
        <w:rPr>
          <w:rFonts w:ascii="Arial"/>
          <w:spacing w:val="23"/>
          <w:w w:val="105"/>
          <w:sz w:val="16"/>
        </w:rPr>
        <w:t> </w:t>
      </w:r>
      <w:r>
        <w:rPr>
          <w:rFonts w:ascii="Arial"/>
          <w:w w:val="105"/>
          <w:sz w:val="16"/>
        </w:rPr>
        <w:t>defined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6"/>
        </w:rPr>
        <w:t>earlier. In notational</w:t>
      </w:r>
      <w:r>
        <w:rPr>
          <w:rFonts w:ascii="Arial"/>
          <w:spacing w:val="6"/>
          <w:w w:val="105"/>
          <w:sz w:val="16"/>
        </w:rPr>
        <w:t> </w:t>
      </w:r>
      <w:r>
        <w:rPr>
          <w:rFonts w:ascii="Arial"/>
          <w:w w:val="105"/>
          <w:sz w:val="16"/>
        </w:rPr>
        <w:t>terms:</w:t>
      </w:r>
      <w:r>
        <w:rPr>
          <w:rFonts w:ascii="Arial"/>
          <w:sz w:val="16"/>
        </w:rPr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before="106"/>
        <w:ind w:left="142" w:right="0" w:firstLine="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/>
          <w:i/>
          <w:sz w:val="20"/>
        </w:rPr>
        <w:t>P </w:t>
      </w:r>
      <w:r>
        <w:rPr>
          <w:rFonts w:ascii="Arial"/>
          <w:sz w:val="20"/>
        </w:rPr>
        <w:t>= </w:t>
      </w:r>
      <w:r>
        <w:rPr>
          <w:rFonts w:ascii="Arial"/>
          <w:i/>
          <w:sz w:val="20"/>
        </w:rPr>
        <w:t>f </w:t>
      </w:r>
      <w:r>
        <w:rPr>
          <w:rFonts w:ascii="Arial"/>
          <w:sz w:val="20"/>
        </w:rPr>
        <w:t>(</w:t>
      </w:r>
      <w:r>
        <w:rPr>
          <w:rFonts w:ascii="Arial"/>
          <w:i/>
          <w:sz w:val="20"/>
        </w:rPr>
        <w:t>NoB, YaH, AV,</w:t>
      </w:r>
      <w:r>
        <w:rPr>
          <w:rFonts w:ascii="Arial"/>
          <w:i/>
          <w:spacing w:val="-3"/>
          <w:sz w:val="20"/>
        </w:rPr>
        <w:t> </w:t>
      </w:r>
      <w:r>
        <w:rPr>
          <w:rFonts w:ascii="Arial"/>
          <w:i/>
          <w:sz w:val="20"/>
        </w:rPr>
        <w:t>LoD</w:t>
      </w:r>
      <w:r>
        <w:rPr>
          <w:rFonts w:ascii="Arial"/>
          <w:sz w:val="20"/>
        </w:rPr>
        <w:t>)</w:t>
      </w:r>
    </w:p>
    <w:p>
      <w:pPr>
        <w:pStyle w:val="BodyText"/>
        <w:tabs>
          <w:tab w:pos="1376" w:val="left" w:leader="none"/>
          <w:tab w:pos="1776" w:val="left" w:leader="none"/>
          <w:tab w:pos="2169" w:val="left" w:leader="none"/>
        </w:tabs>
        <w:spacing w:line="240" w:lineRule="auto" w:before="1"/>
        <w:ind w:left="815" w:right="0"/>
        <w:jc w:val="left"/>
      </w:pPr>
      <w:r>
        <w:rPr/>
        <w:t>+</w:t>
        <w:tab/>
        <w:t>-</w:t>
        <w:tab/>
        <w:t>+</w:t>
        <w:tab/>
        <w:t>-</w:t>
      </w:r>
    </w:p>
    <w:p>
      <w:pPr>
        <w:spacing w:line="240" w:lineRule="auto" w:before="7"/>
        <w:rPr>
          <w:rFonts w:ascii="Arial" w:hAnsi="Arial" w:cs="Arial" w:eastAsia="Arial"/>
          <w:sz w:val="18"/>
          <w:szCs w:val="18"/>
        </w:rPr>
      </w:pPr>
    </w:p>
    <w:p>
      <w:pPr>
        <w:spacing w:line="235" w:lineRule="auto" w:before="0"/>
        <w:ind w:left="104" w:right="5" w:firstLine="0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/>
          <w:sz w:val="17"/>
        </w:rPr>
        <w:t>where, </w:t>
      </w:r>
      <w:r>
        <w:rPr>
          <w:rFonts w:ascii="Arial"/>
          <w:i/>
          <w:sz w:val="17"/>
        </w:rPr>
        <w:t>NoB </w:t>
      </w:r>
      <w:r>
        <w:rPr>
          <w:rFonts w:ascii="Arial"/>
          <w:sz w:val="17"/>
        </w:rPr>
        <w:t>stands for number </w:t>
      </w:r>
      <w:r>
        <w:rPr>
          <w:rFonts w:ascii="Arial"/>
          <w:spacing w:val="-5"/>
          <w:sz w:val="17"/>
        </w:rPr>
        <w:t>of </w:t>
      </w:r>
      <w:r>
        <w:rPr>
          <w:rFonts w:ascii="Arial"/>
          <w:sz w:val="17"/>
        </w:rPr>
        <w:t>bidders (participants) </w:t>
      </w:r>
      <w:r>
        <w:rPr>
          <w:rFonts w:ascii="Arial"/>
          <w:spacing w:val="-3"/>
          <w:sz w:val="17"/>
        </w:rPr>
        <w:t>in </w:t>
      </w:r>
      <w:r>
        <w:rPr>
          <w:rFonts w:ascii="Arial"/>
          <w:spacing w:val="8"/>
          <w:sz w:val="17"/>
        </w:rPr>
        <w:t> </w:t>
      </w:r>
      <w:r>
        <w:rPr>
          <w:rFonts w:ascii="Arial"/>
          <w:sz w:val="17"/>
        </w:rPr>
        <w:t>an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6"/>
        </w:rPr>
        <w:t>auction, </w:t>
      </w:r>
      <w:r>
        <w:rPr>
          <w:rFonts w:ascii="Arial"/>
          <w:i/>
          <w:sz w:val="16"/>
        </w:rPr>
        <w:t>YaH </w:t>
      </w:r>
      <w:r>
        <w:rPr>
          <w:rFonts w:ascii="Arial"/>
          <w:sz w:val="16"/>
        </w:rPr>
        <w:t>for year after harvest </w:t>
      </w:r>
      <w:r>
        <w:rPr>
          <w:rFonts w:ascii="Arial"/>
          <w:spacing w:val="2"/>
          <w:sz w:val="16"/>
        </w:rPr>
        <w:t>(0 </w:t>
      </w:r>
      <w:r>
        <w:rPr>
          <w:rFonts w:ascii="Arial"/>
          <w:sz w:val="16"/>
        </w:rPr>
        <w:t>for the timber harvested in the</w:t>
      </w:r>
      <w:r>
        <w:rPr>
          <w:rFonts w:ascii="Arial"/>
          <w:spacing w:val="-36"/>
          <w:sz w:val="16"/>
        </w:rPr>
        <w:t> </w:t>
      </w:r>
      <w:r>
        <w:rPr>
          <w:rFonts w:ascii="Arial"/>
          <w:spacing w:val="-36"/>
          <w:sz w:val="16"/>
        </w:rPr>
      </w:r>
      <w:r>
        <w:rPr>
          <w:rFonts w:ascii="Arial"/>
          <w:sz w:val="17"/>
        </w:rPr>
        <w:t>year auction takes place, and 1 for the timber harvested </w:t>
      </w:r>
      <w:r>
        <w:rPr>
          <w:rFonts w:ascii="Arial"/>
          <w:spacing w:val="2"/>
          <w:sz w:val="17"/>
        </w:rPr>
        <w:t>the</w:t>
      </w:r>
      <w:r>
        <w:rPr>
          <w:rFonts w:ascii="Arial"/>
          <w:spacing w:val="18"/>
          <w:sz w:val="17"/>
        </w:rPr>
        <w:t> </w:t>
      </w:r>
      <w:r>
        <w:rPr>
          <w:rFonts w:ascii="Arial"/>
          <w:sz w:val="17"/>
        </w:rPr>
        <w:t>year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7"/>
        </w:rPr>
        <w:t>prior</w:t>
      </w:r>
      <w:r>
        <w:rPr>
          <w:rFonts w:ascii="Arial"/>
          <w:spacing w:val="16"/>
          <w:sz w:val="17"/>
        </w:rPr>
        <w:t> </w:t>
      </w:r>
      <w:r>
        <w:rPr>
          <w:rFonts w:ascii="Arial"/>
          <w:spacing w:val="2"/>
          <w:sz w:val="17"/>
        </w:rPr>
        <w:t>to</w:t>
      </w:r>
      <w:r>
        <w:rPr>
          <w:rFonts w:ascii="Arial"/>
          <w:spacing w:val="8"/>
          <w:sz w:val="17"/>
        </w:rPr>
        <w:t> </w:t>
      </w:r>
      <w:r>
        <w:rPr>
          <w:rFonts w:ascii="Arial"/>
          <w:sz w:val="17"/>
        </w:rPr>
        <w:t>the</w:t>
      </w:r>
      <w:r>
        <w:rPr>
          <w:rFonts w:ascii="Arial"/>
          <w:spacing w:val="17"/>
          <w:sz w:val="17"/>
        </w:rPr>
        <w:t> </w:t>
      </w:r>
      <w:r>
        <w:rPr>
          <w:rFonts w:ascii="Arial"/>
          <w:sz w:val="17"/>
        </w:rPr>
        <w:t>auction),</w:t>
      </w:r>
      <w:r>
        <w:rPr>
          <w:rFonts w:ascii="Arial"/>
          <w:spacing w:val="16"/>
          <w:sz w:val="17"/>
        </w:rPr>
        <w:t> </w:t>
      </w:r>
      <w:r>
        <w:rPr>
          <w:rFonts w:ascii="Arial"/>
          <w:i/>
          <w:sz w:val="17"/>
        </w:rPr>
        <w:t>AV</w:t>
      </w:r>
      <w:r>
        <w:rPr>
          <w:rFonts w:ascii="Arial"/>
          <w:i/>
          <w:spacing w:val="13"/>
          <w:sz w:val="17"/>
        </w:rPr>
        <w:t> </w:t>
      </w:r>
      <w:r>
        <w:rPr>
          <w:rFonts w:ascii="Arial"/>
          <w:sz w:val="17"/>
        </w:rPr>
        <w:t>for</w:t>
      </w:r>
      <w:r>
        <w:rPr>
          <w:rFonts w:ascii="Arial"/>
          <w:spacing w:val="16"/>
          <w:sz w:val="17"/>
        </w:rPr>
        <w:t> </w:t>
      </w:r>
      <w:r>
        <w:rPr>
          <w:rFonts w:ascii="Arial"/>
          <w:spacing w:val="2"/>
          <w:sz w:val="17"/>
        </w:rPr>
        <w:t>the</w:t>
      </w:r>
      <w:r>
        <w:rPr>
          <w:rFonts w:ascii="Arial"/>
          <w:spacing w:val="12"/>
          <w:sz w:val="17"/>
        </w:rPr>
        <w:t> </w:t>
      </w:r>
      <w:r>
        <w:rPr>
          <w:rFonts w:ascii="Arial"/>
          <w:sz w:val="17"/>
        </w:rPr>
        <w:t>appraised</w:t>
      </w:r>
      <w:r>
        <w:rPr>
          <w:rFonts w:ascii="Arial"/>
          <w:spacing w:val="17"/>
          <w:sz w:val="17"/>
        </w:rPr>
        <w:t> </w:t>
      </w:r>
      <w:r>
        <w:rPr>
          <w:rFonts w:ascii="Arial"/>
          <w:sz w:val="17"/>
        </w:rPr>
        <w:t>value</w:t>
      </w:r>
      <w:r>
        <w:rPr>
          <w:rFonts w:ascii="Arial"/>
          <w:spacing w:val="16"/>
          <w:sz w:val="17"/>
        </w:rPr>
        <w:t> </w:t>
      </w:r>
      <w:r>
        <w:rPr>
          <w:rFonts w:ascii="Arial"/>
          <w:sz w:val="17"/>
        </w:rPr>
        <w:t>(TL/m</w:t>
      </w:r>
      <w:r>
        <w:rPr>
          <w:rFonts w:ascii="Arial"/>
          <w:position w:val="8"/>
          <w:sz w:val="11"/>
        </w:rPr>
        <w:t>3</w:t>
      </w:r>
      <w:r>
        <w:rPr>
          <w:rFonts w:ascii="Arial"/>
          <w:sz w:val="17"/>
        </w:rPr>
        <w:t>),</w:t>
      </w:r>
      <w:r>
        <w:rPr>
          <w:rFonts w:ascii="Arial"/>
          <w:spacing w:val="20"/>
          <w:sz w:val="17"/>
        </w:rPr>
        <w:t> </w:t>
      </w:r>
      <w:r>
        <w:rPr>
          <w:rFonts w:ascii="Arial"/>
          <w:spacing w:val="-3"/>
          <w:sz w:val="17"/>
        </w:rPr>
        <w:t>and</w:t>
      </w:r>
      <w:r>
        <w:rPr>
          <w:rFonts w:ascii="Arial"/>
          <w:spacing w:val="17"/>
          <w:sz w:val="17"/>
        </w:rPr>
        <w:t> </w:t>
      </w:r>
      <w:r>
        <w:rPr>
          <w:rFonts w:ascii="Arial"/>
          <w:i/>
          <w:sz w:val="17"/>
        </w:rPr>
        <w:t>LoD</w:t>
      </w:r>
      <w:r>
        <w:rPr>
          <w:rFonts w:ascii="Arial"/>
          <w:sz w:val="17"/>
        </w:rPr>
      </w:r>
    </w:p>
    <w:p>
      <w:pPr>
        <w:spacing w:before="11"/>
        <w:ind w:left="104" w:right="9" w:firstLine="0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/>
          <w:w w:val="105"/>
          <w:sz w:val="16"/>
        </w:rPr>
        <w:t>for damage level (0 for non-damaged timber party, 1 for</w:t>
      </w:r>
      <w:r>
        <w:rPr>
          <w:rFonts w:ascii="Arial"/>
          <w:spacing w:val="17"/>
          <w:w w:val="105"/>
          <w:sz w:val="16"/>
        </w:rPr>
        <w:t> </w:t>
      </w:r>
      <w:r>
        <w:rPr>
          <w:rFonts w:ascii="Arial"/>
          <w:w w:val="105"/>
          <w:sz w:val="16"/>
        </w:rPr>
        <w:t>slightly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7"/>
        </w:rPr>
        <w:t>damaged,</w:t>
      </w:r>
      <w:r>
        <w:rPr>
          <w:rFonts w:ascii="Arial"/>
          <w:spacing w:val="-28"/>
          <w:w w:val="105"/>
          <w:sz w:val="17"/>
        </w:rPr>
        <w:t> </w:t>
      </w:r>
      <w:r>
        <w:rPr>
          <w:rFonts w:ascii="Arial"/>
          <w:spacing w:val="-3"/>
          <w:w w:val="105"/>
          <w:sz w:val="17"/>
        </w:rPr>
        <w:t>and</w:t>
      </w:r>
      <w:r>
        <w:rPr>
          <w:rFonts w:ascii="Arial"/>
          <w:spacing w:val="-30"/>
          <w:w w:val="105"/>
          <w:sz w:val="17"/>
        </w:rPr>
        <w:t> </w:t>
      </w:r>
      <w:r>
        <w:rPr>
          <w:rFonts w:ascii="Arial"/>
          <w:w w:val="105"/>
          <w:sz w:val="17"/>
        </w:rPr>
        <w:t>2</w:t>
      </w:r>
      <w:r>
        <w:rPr>
          <w:rFonts w:ascii="Arial"/>
          <w:spacing w:val="-32"/>
          <w:w w:val="105"/>
          <w:sz w:val="17"/>
        </w:rPr>
        <w:t> </w:t>
      </w:r>
      <w:r>
        <w:rPr>
          <w:rFonts w:ascii="Arial"/>
          <w:w w:val="105"/>
          <w:sz w:val="17"/>
        </w:rPr>
        <w:t>for</w:t>
      </w:r>
      <w:r>
        <w:rPr>
          <w:rFonts w:ascii="Arial"/>
          <w:spacing w:val="-30"/>
          <w:w w:val="105"/>
          <w:sz w:val="17"/>
        </w:rPr>
        <w:t> </w:t>
      </w:r>
      <w:r>
        <w:rPr>
          <w:rFonts w:ascii="Arial"/>
          <w:w w:val="105"/>
          <w:sz w:val="17"/>
        </w:rPr>
        <w:t>the</w:t>
      </w:r>
      <w:r>
        <w:rPr>
          <w:rFonts w:ascii="Arial"/>
          <w:spacing w:val="-30"/>
          <w:w w:val="105"/>
          <w:sz w:val="17"/>
        </w:rPr>
        <w:t> </w:t>
      </w:r>
      <w:r>
        <w:rPr>
          <w:rFonts w:ascii="Arial"/>
          <w:w w:val="105"/>
          <w:sz w:val="17"/>
        </w:rPr>
        <w:t>heavily</w:t>
      </w:r>
      <w:r>
        <w:rPr>
          <w:rFonts w:ascii="Arial"/>
          <w:spacing w:val="-30"/>
          <w:w w:val="105"/>
          <w:sz w:val="17"/>
        </w:rPr>
        <w:t> </w:t>
      </w:r>
      <w:r>
        <w:rPr>
          <w:rFonts w:ascii="Arial"/>
          <w:w w:val="105"/>
          <w:sz w:val="17"/>
        </w:rPr>
        <w:t>damaged).</w:t>
      </w:r>
      <w:r>
        <w:rPr>
          <w:rFonts w:ascii="Arial"/>
          <w:sz w:val="17"/>
        </w:rPr>
      </w:r>
    </w:p>
    <w:p>
      <w:pPr>
        <w:spacing w:line="247" w:lineRule="auto" w:before="1"/>
        <w:ind w:left="104" w:right="1" w:firstLine="182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/>
          <w:sz w:val="17"/>
        </w:rPr>
        <w:t>Moreover, the corresponding signs right below the variables,</w:t>
      </w:r>
      <w:r>
        <w:rPr>
          <w:rFonts w:ascii="Arial"/>
          <w:spacing w:val="25"/>
          <w:sz w:val="17"/>
        </w:rPr>
        <w:t> </w:t>
      </w:r>
      <w:r>
        <w:rPr>
          <w:rFonts w:ascii="Arial"/>
          <w:sz w:val="17"/>
        </w:rPr>
        <w:t>are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7"/>
        </w:rPr>
        <w:t>the expected signs showing the direction </w:t>
      </w:r>
      <w:r>
        <w:rPr>
          <w:rFonts w:ascii="Arial"/>
          <w:spacing w:val="-5"/>
          <w:sz w:val="17"/>
        </w:rPr>
        <w:t>of </w:t>
      </w:r>
      <w:r>
        <w:rPr>
          <w:rFonts w:ascii="Arial"/>
          <w:spacing w:val="2"/>
          <w:sz w:val="17"/>
        </w:rPr>
        <w:t>the </w:t>
      </w:r>
      <w:r>
        <w:rPr>
          <w:rFonts w:ascii="Arial"/>
          <w:sz w:val="17"/>
        </w:rPr>
        <w:t>effects </w:t>
      </w:r>
      <w:r>
        <w:rPr>
          <w:rFonts w:ascii="Arial"/>
          <w:spacing w:val="35"/>
          <w:sz w:val="17"/>
        </w:rPr>
        <w:t> </w:t>
      </w:r>
      <w:r>
        <w:rPr>
          <w:rFonts w:ascii="Arial"/>
          <w:sz w:val="17"/>
        </w:rPr>
        <w:t>each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6"/>
        </w:rPr>
        <w:t>variable</w:t>
      </w:r>
      <w:r>
        <w:rPr>
          <w:rFonts w:ascii="Arial"/>
          <w:spacing w:val="37"/>
          <w:sz w:val="16"/>
        </w:rPr>
        <w:t> </w:t>
      </w:r>
      <w:r>
        <w:rPr>
          <w:rFonts w:ascii="Arial"/>
          <w:sz w:val="16"/>
        </w:rPr>
        <w:t>is</w:t>
      </w:r>
      <w:r>
        <w:rPr>
          <w:rFonts w:ascii="Arial"/>
          <w:spacing w:val="43"/>
          <w:sz w:val="16"/>
        </w:rPr>
        <w:t> </w:t>
      </w:r>
      <w:r>
        <w:rPr>
          <w:rFonts w:ascii="Arial"/>
          <w:sz w:val="16"/>
        </w:rPr>
        <w:t>expected</w:t>
      </w:r>
      <w:r>
        <w:rPr>
          <w:rFonts w:ascii="Arial"/>
          <w:spacing w:val="31"/>
          <w:sz w:val="16"/>
        </w:rPr>
        <w:t> </w:t>
      </w:r>
      <w:r>
        <w:rPr>
          <w:rFonts w:ascii="Arial"/>
          <w:sz w:val="16"/>
        </w:rPr>
        <w:t>to</w:t>
      </w:r>
      <w:r>
        <w:rPr>
          <w:rFonts w:ascii="Arial"/>
          <w:spacing w:val="31"/>
          <w:sz w:val="16"/>
        </w:rPr>
        <w:t> </w:t>
      </w:r>
      <w:r>
        <w:rPr>
          <w:rFonts w:ascii="Arial"/>
          <w:sz w:val="16"/>
        </w:rPr>
        <w:t>have</w:t>
      </w:r>
      <w:r>
        <w:rPr>
          <w:rFonts w:ascii="Arial"/>
          <w:spacing w:val="37"/>
          <w:sz w:val="16"/>
        </w:rPr>
        <w:t> </w:t>
      </w:r>
      <w:r>
        <w:rPr>
          <w:rFonts w:ascii="Arial"/>
          <w:sz w:val="16"/>
        </w:rPr>
        <w:t>on</w:t>
      </w:r>
      <w:r>
        <w:rPr>
          <w:rFonts w:ascii="Arial"/>
          <w:spacing w:val="31"/>
          <w:sz w:val="16"/>
        </w:rPr>
        <w:t> </w:t>
      </w:r>
      <w:r>
        <w:rPr>
          <w:rFonts w:ascii="Arial"/>
          <w:sz w:val="16"/>
        </w:rPr>
        <w:t>timber</w:t>
      </w:r>
      <w:r>
        <w:rPr>
          <w:rFonts w:ascii="Arial"/>
          <w:spacing w:val="36"/>
          <w:sz w:val="16"/>
        </w:rPr>
        <w:t> </w:t>
      </w:r>
      <w:r>
        <w:rPr>
          <w:rFonts w:ascii="Arial"/>
          <w:sz w:val="16"/>
        </w:rPr>
        <w:t>sales</w:t>
      </w:r>
      <w:r>
        <w:rPr>
          <w:rFonts w:ascii="Arial"/>
          <w:spacing w:val="43"/>
          <w:sz w:val="16"/>
        </w:rPr>
        <w:t> </w:t>
      </w:r>
      <w:r>
        <w:rPr>
          <w:rFonts w:ascii="Arial"/>
          <w:sz w:val="16"/>
        </w:rPr>
        <w:t>price.</w:t>
      </w:r>
      <w:r>
        <w:rPr>
          <w:rFonts w:ascii="Arial"/>
          <w:spacing w:val="44"/>
          <w:sz w:val="16"/>
        </w:rPr>
        <w:t> </w:t>
      </w:r>
      <w:r>
        <w:rPr>
          <w:rFonts w:ascii="Arial"/>
          <w:sz w:val="16"/>
        </w:rPr>
        <w:t>As</w:t>
      </w:r>
      <w:r>
        <w:rPr>
          <w:rFonts w:ascii="Arial"/>
          <w:spacing w:val="36"/>
          <w:sz w:val="16"/>
        </w:rPr>
        <w:t> </w:t>
      </w:r>
      <w:r>
        <w:rPr>
          <w:rFonts w:ascii="Arial"/>
          <w:sz w:val="16"/>
        </w:rPr>
        <w:t>bidders</w:t>
      </w:r>
      <w:r>
        <w:rPr>
          <w:rFonts w:ascii="Arial"/>
          <w:spacing w:val="43"/>
          <w:sz w:val="16"/>
        </w:rPr>
        <w:t> </w:t>
      </w:r>
      <w:r>
        <w:rPr>
          <w:rFonts w:ascii="Arial"/>
          <w:sz w:val="16"/>
        </w:rPr>
        <w:t>and</w:t>
      </w:r>
      <w:r>
        <w:rPr>
          <w:rFonts w:ascii="Arial"/>
          <w:spacing w:val="-36"/>
          <w:sz w:val="16"/>
        </w:rPr>
        <w:t> </w:t>
      </w:r>
      <w:r>
        <w:rPr>
          <w:rFonts w:ascii="Arial"/>
          <w:spacing w:val="-36"/>
          <w:sz w:val="16"/>
        </w:rPr>
      </w:r>
      <w:r>
        <w:rPr>
          <w:rFonts w:ascii="Arial"/>
          <w:sz w:val="17"/>
        </w:rPr>
        <w:t>their interest on sales cause competition in auctions, a</w:t>
      </w:r>
      <w:r>
        <w:rPr>
          <w:rFonts w:ascii="Arial"/>
          <w:spacing w:val="-1"/>
          <w:sz w:val="17"/>
        </w:rPr>
        <w:t> </w:t>
      </w:r>
      <w:r>
        <w:rPr>
          <w:rFonts w:ascii="Arial"/>
          <w:sz w:val="17"/>
        </w:rPr>
        <w:t>positive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6"/>
        </w:rPr>
        <w:t>correlation is expected between number </w:t>
      </w:r>
      <w:r>
        <w:rPr>
          <w:rFonts w:ascii="Arial"/>
          <w:spacing w:val="-4"/>
          <w:sz w:val="16"/>
        </w:rPr>
        <w:t>of </w:t>
      </w:r>
      <w:r>
        <w:rPr>
          <w:rFonts w:ascii="Arial"/>
          <w:sz w:val="16"/>
        </w:rPr>
        <w:t>bidders and sales price</w:t>
      </w:r>
      <w:r>
        <w:rPr>
          <w:rFonts w:ascii="Arial"/>
          <w:spacing w:val="-10"/>
          <w:sz w:val="16"/>
        </w:rPr>
        <w:t> </w:t>
      </w:r>
      <w:r>
        <w:rPr>
          <w:rFonts w:ascii="Arial"/>
          <w:spacing w:val="-10"/>
          <w:sz w:val="16"/>
        </w:rPr>
      </w:r>
      <w:r>
        <w:rPr>
          <w:rFonts w:ascii="Arial"/>
          <w:sz w:val="17"/>
        </w:rPr>
        <w:t>(Dahal and Mehmood, 2005; Dunn and Dubois,</w:t>
      </w:r>
      <w:r>
        <w:rPr>
          <w:rFonts w:ascii="Arial"/>
          <w:spacing w:val="-28"/>
          <w:sz w:val="17"/>
        </w:rPr>
        <w:t> </w:t>
      </w:r>
      <w:r>
        <w:rPr>
          <w:rFonts w:ascii="Arial"/>
          <w:sz w:val="17"/>
        </w:rPr>
        <w:t>1999).</w:t>
      </w:r>
    </w:p>
    <w:p>
      <w:pPr>
        <w:spacing w:line="249" w:lineRule="auto" w:before="0"/>
        <w:ind w:left="104" w:right="5" w:firstLine="182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/>
          <w:sz w:val="17"/>
        </w:rPr>
        <w:t>As there will be more degradation in stock products due </w:t>
      </w:r>
      <w:r>
        <w:rPr>
          <w:rFonts w:ascii="Arial"/>
          <w:spacing w:val="3"/>
          <w:sz w:val="17"/>
        </w:rPr>
        <w:t> </w:t>
      </w:r>
      <w:r>
        <w:rPr>
          <w:rFonts w:ascii="Arial"/>
          <w:spacing w:val="2"/>
          <w:sz w:val="17"/>
        </w:rPr>
        <w:t>to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6"/>
        </w:rPr>
        <w:t>climate</w:t>
      </w:r>
      <w:r>
        <w:rPr>
          <w:rFonts w:ascii="Arial"/>
          <w:spacing w:val="3"/>
          <w:sz w:val="16"/>
        </w:rPr>
        <w:t> </w:t>
      </w:r>
      <w:r>
        <w:rPr>
          <w:rFonts w:ascii="Arial"/>
          <w:sz w:val="16"/>
        </w:rPr>
        <w:t>conditions,</w:t>
      </w:r>
      <w:r>
        <w:rPr>
          <w:rFonts w:ascii="Arial"/>
          <w:spacing w:val="13"/>
          <w:sz w:val="16"/>
        </w:rPr>
        <w:t> </w:t>
      </w:r>
      <w:r>
        <w:rPr>
          <w:rFonts w:ascii="Arial"/>
          <w:sz w:val="16"/>
        </w:rPr>
        <w:t>it</w:t>
      </w:r>
      <w:r>
        <w:rPr>
          <w:rFonts w:ascii="Arial"/>
          <w:spacing w:val="13"/>
          <w:sz w:val="16"/>
        </w:rPr>
        <w:t> </w:t>
      </w:r>
      <w:r>
        <w:rPr>
          <w:rFonts w:ascii="Arial"/>
          <w:sz w:val="16"/>
        </w:rPr>
        <w:t>is</w:t>
      </w:r>
      <w:r>
        <w:rPr>
          <w:rFonts w:ascii="Arial"/>
          <w:spacing w:val="14"/>
          <w:sz w:val="16"/>
        </w:rPr>
        <w:t> </w:t>
      </w:r>
      <w:r>
        <w:rPr>
          <w:rFonts w:ascii="Arial"/>
          <w:sz w:val="16"/>
        </w:rPr>
        <w:t>expected</w:t>
      </w:r>
      <w:r>
        <w:rPr>
          <w:rFonts w:ascii="Arial"/>
          <w:spacing w:val="3"/>
          <w:sz w:val="16"/>
        </w:rPr>
        <w:t> </w:t>
      </w:r>
      <w:r>
        <w:rPr>
          <w:rFonts w:ascii="Arial"/>
          <w:sz w:val="16"/>
        </w:rPr>
        <w:t>to </w:t>
      </w:r>
      <w:r>
        <w:rPr>
          <w:rFonts w:ascii="Arial"/>
          <w:spacing w:val="3"/>
          <w:sz w:val="16"/>
        </w:rPr>
        <w:t> </w:t>
      </w:r>
      <w:r>
        <w:rPr>
          <w:rFonts w:ascii="Arial"/>
          <w:sz w:val="16"/>
        </w:rPr>
        <w:t>have </w:t>
      </w:r>
      <w:r>
        <w:rPr>
          <w:rFonts w:ascii="Arial"/>
          <w:spacing w:val="3"/>
          <w:sz w:val="16"/>
        </w:rPr>
        <w:t> </w:t>
      </w:r>
      <w:r>
        <w:rPr>
          <w:rFonts w:ascii="Arial"/>
          <w:sz w:val="16"/>
        </w:rPr>
        <w:t>negative </w:t>
      </w:r>
      <w:r>
        <w:rPr>
          <w:rFonts w:ascii="Arial"/>
          <w:spacing w:val="3"/>
          <w:sz w:val="16"/>
        </w:rPr>
        <w:t> </w:t>
      </w:r>
      <w:r>
        <w:rPr>
          <w:rFonts w:ascii="Arial"/>
          <w:sz w:val="16"/>
        </w:rPr>
        <w:t>correlation</w:t>
      </w:r>
      <w:r>
        <w:rPr>
          <w:rFonts w:ascii="Arial"/>
          <w:spacing w:val="-38"/>
          <w:sz w:val="16"/>
        </w:rPr>
        <w:t> </w:t>
      </w:r>
      <w:r>
        <w:rPr>
          <w:rFonts w:ascii="Arial"/>
          <w:spacing w:val="-38"/>
          <w:sz w:val="16"/>
        </w:rPr>
      </w:r>
      <w:r>
        <w:rPr>
          <w:rFonts w:ascii="Arial"/>
          <w:sz w:val="17"/>
        </w:rPr>
        <w:t>between products produced before sale year, and their sales</w:t>
      </w:r>
      <w:r>
        <w:rPr>
          <w:rFonts w:ascii="Arial"/>
          <w:spacing w:val="-33"/>
          <w:sz w:val="17"/>
        </w:rPr>
        <w:t> </w:t>
      </w:r>
      <w:r>
        <w:rPr>
          <w:rFonts w:ascii="Arial"/>
          <w:sz w:val="17"/>
        </w:rPr>
        <w:t>price.</w:t>
      </w:r>
    </w:p>
    <w:p>
      <w:pPr>
        <w:spacing w:before="3"/>
        <w:ind w:left="104" w:right="0" w:firstLine="230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/>
          <w:sz w:val="16"/>
        </w:rPr>
        <w:t>The variable of appraised value shows the beginning sales</w:t>
      </w:r>
      <w:r>
        <w:rPr>
          <w:rFonts w:ascii="Arial"/>
          <w:spacing w:val="35"/>
          <w:sz w:val="16"/>
        </w:rPr>
        <w:t> </w:t>
      </w:r>
      <w:r>
        <w:rPr>
          <w:rFonts w:ascii="Arial"/>
          <w:sz w:val="16"/>
        </w:rPr>
        <w:t>price</w:t>
      </w:r>
      <w:r>
        <w:rPr>
          <w:rFonts w:ascii="Arial"/>
          <w:w w:val="105"/>
          <w:sz w:val="16"/>
        </w:rPr>
        <w:t> </w:t>
      </w:r>
      <w:r>
        <w:rPr>
          <w:rFonts w:ascii="Arial"/>
          <w:sz w:val="17"/>
        </w:rPr>
        <w:t>level  in  auction.  Hence,  sales  price  will  always  be  higher</w:t>
      </w:r>
      <w:r>
        <w:rPr>
          <w:rFonts w:ascii="Arial"/>
          <w:spacing w:val="19"/>
          <w:sz w:val="17"/>
        </w:rPr>
        <w:t> </w:t>
      </w:r>
      <w:r>
        <w:rPr>
          <w:rFonts w:ascii="Arial"/>
          <w:sz w:val="17"/>
        </w:rPr>
        <w:t>than</w:t>
      </w:r>
    </w:p>
    <w:p>
      <w:pPr>
        <w:spacing w:line="240" w:lineRule="auto" w:before="6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/>
          <w:sz w:val="19"/>
        </w:rPr>
      </w:r>
    </w:p>
    <w:p>
      <w:pPr>
        <w:spacing w:line="240" w:lineRule="auto" w:before="0"/>
        <w:ind w:left="104" w:right="115" w:firstLine="0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 w:hAnsi="Arial" w:cs="Arial" w:eastAsia="Arial"/>
          <w:position w:val="2"/>
          <w:sz w:val="16"/>
          <w:szCs w:val="16"/>
        </w:rPr>
        <w:t>where,</w:t>
      </w:r>
      <w:r>
        <w:rPr>
          <w:rFonts w:ascii="Arial" w:hAnsi="Arial" w:cs="Arial" w:eastAsia="Arial"/>
          <w:spacing w:val="33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in</w:t>
      </w:r>
      <w:r>
        <w:rPr>
          <w:rFonts w:ascii="Arial" w:hAnsi="Arial" w:cs="Arial" w:eastAsia="Arial"/>
          <w:spacing w:val="29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addition</w:t>
      </w:r>
      <w:r>
        <w:rPr>
          <w:rFonts w:ascii="Arial" w:hAnsi="Arial" w:cs="Arial" w:eastAsia="Arial"/>
          <w:spacing w:val="23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to</w:t>
      </w:r>
      <w:r>
        <w:rPr>
          <w:rFonts w:ascii="Arial" w:hAnsi="Arial" w:cs="Arial" w:eastAsia="Arial"/>
          <w:spacing w:val="17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the</w:t>
      </w:r>
      <w:r>
        <w:rPr>
          <w:rFonts w:ascii="Arial" w:hAnsi="Arial" w:cs="Arial" w:eastAsia="Arial"/>
          <w:spacing w:val="23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variable</w:t>
      </w:r>
      <w:r>
        <w:rPr>
          <w:rFonts w:ascii="Arial" w:hAnsi="Arial" w:cs="Arial" w:eastAsia="Arial"/>
          <w:spacing w:val="23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notation</w:t>
      </w:r>
      <w:r>
        <w:rPr>
          <w:rFonts w:ascii="Arial" w:hAnsi="Arial" w:cs="Arial" w:eastAsia="Arial"/>
          <w:spacing w:val="29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explained earlier, </w:t>
      </w:r>
      <w:r>
        <w:rPr>
          <w:rFonts w:ascii="Arial" w:hAnsi="Arial" w:cs="Arial" w:eastAsia="Arial"/>
          <w:spacing w:val="28"/>
          <w:position w:val="2"/>
          <w:sz w:val="16"/>
          <w:szCs w:val="16"/>
        </w:rPr>
        <w:t> </w:t>
      </w:r>
      <w:r>
        <w:rPr>
          <w:rFonts w:ascii="Arial" w:hAnsi="Arial" w:cs="Arial" w:eastAsia="Arial"/>
          <w:i/>
          <w:spacing w:val="-2"/>
          <w:position w:val="2"/>
          <w:sz w:val="16"/>
          <w:szCs w:val="16"/>
        </w:rPr>
        <w:t>P</w:t>
      </w:r>
      <w:r>
        <w:rPr>
          <w:rFonts w:ascii="Arial" w:hAnsi="Arial" w:cs="Arial" w:eastAsia="Arial"/>
          <w:i/>
          <w:spacing w:val="-2"/>
          <w:sz w:val="11"/>
          <w:szCs w:val="11"/>
        </w:rPr>
        <w:t>ts</w:t>
      </w:r>
      <w:r>
        <w:rPr>
          <w:rFonts w:ascii="Arial" w:hAnsi="Arial" w:cs="Arial" w:eastAsia="Arial"/>
          <w:i/>
          <w:spacing w:val="-23"/>
          <w:sz w:val="11"/>
          <w:szCs w:val="11"/>
        </w:rPr>
        <w:t> </w:t>
      </w:r>
      <w:r>
        <w:rPr>
          <w:rFonts w:ascii="Arial" w:hAnsi="Arial" w:cs="Arial" w:eastAsia="Arial"/>
          <w:i/>
          <w:spacing w:val="-23"/>
          <w:sz w:val="11"/>
          <w:szCs w:val="11"/>
        </w:rPr>
      </w:r>
      <w:r>
        <w:rPr>
          <w:rFonts w:ascii="Arial" w:hAnsi="Arial" w:cs="Arial" w:eastAsia="Arial"/>
          <w:position w:val="2"/>
          <w:sz w:val="16"/>
          <w:szCs w:val="16"/>
        </w:rPr>
        <w:t>stands</w:t>
      </w:r>
      <w:r>
        <w:rPr>
          <w:rFonts w:ascii="Arial" w:hAnsi="Arial" w:cs="Arial" w:eastAsia="Arial"/>
          <w:spacing w:val="22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for</w:t>
      </w:r>
      <w:r>
        <w:rPr>
          <w:rFonts w:ascii="Arial" w:hAnsi="Arial" w:cs="Arial" w:eastAsia="Arial"/>
          <w:spacing w:val="21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timber</w:t>
      </w:r>
      <w:r>
        <w:rPr>
          <w:rFonts w:ascii="Arial" w:hAnsi="Arial" w:cs="Arial" w:eastAsia="Arial"/>
          <w:spacing w:val="21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sales</w:t>
      </w:r>
      <w:r>
        <w:rPr>
          <w:rFonts w:ascii="Arial" w:hAnsi="Arial" w:cs="Arial" w:eastAsia="Arial"/>
          <w:spacing w:val="22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price,</w:t>
      </w:r>
      <w:r>
        <w:rPr>
          <w:rFonts w:ascii="Arial" w:hAnsi="Arial" w:cs="Arial" w:eastAsia="Arial"/>
          <w:spacing w:val="26"/>
          <w:position w:val="2"/>
          <w:sz w:val="16"/>
          <w:szCs w:val="16"/>
        </w:rPr>
        <w:t> </w:t>
      </w:r>
      <w:r>
        <w:rPr>
          <w:rFonts w:ascii="Arial" w:hAnsi="Arial" w:cs="Arial" w:eastAsia="Arial"/>
          <w:i/>
          <w:position w:val="2"/>
          <w:sz w:val="16"/>
          <w:szCs w:val="16"/>
        </w:rPr>
        <w:t>β</w:t>
      </w:r>
      <w:r>
        <w:rPr>
          <w:rFonts w:ascii="Arial" w:hAnsi="Arial" w:cs="Arial" w:eastAsia="Arial"/>
          <w:i/>
          <w:sz w:val="11"/>
          <w:szCs w:val="11"/>
        </w:rPr>
        <w:t>0</w:t>
      </w:r>
      <w:r>
        <w:rPr>
          <w:rFonts w:ascii="Arial" w:hAnsi="Arial" w:cs="Arial" w:eastAsia="Arial"/>
          <w:i/>
          <w:spacing w:val="24"/>
          <w:sz w:val="11"/>
          <w:szCs w:val="11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is</w:t>
      </w:r>
      <w:r>
        <w:rPr>
          <w:rFonts w:ascii="Arial" w:hAnsi="Arial" w:cs="Arial" w:eastAsia="Arial"/>
          <w:spacing w:val="22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the</w:t>
      </w:r>
      <w:r>
        <w:rPr>
          <w:rFonts w:ascii="Arial" w:hAnsi="Arial" w:cs="Arial" w:eastAsia="Arial"/>
          <w:spacing w:val="16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intercept</w:t>
      </w:r>
      <w:r>
        <w:rPr>
          <w:rFonts w:ascii="Arial" w:hAnsi="Arial" w:cs="Arial" w:eastAsia="Arial"/>
          <w:spacing w:val="21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coefficient,</w:t>
      </w:r>
      <w:r>
        <w:rPr>
          <w:rFonts w:ascii="Arial" w:hAnsi="Arial" w:cs="Arial" w:eastAsia="Arial"/>
          <w:spacing w:val="26"/>
          <w:position w:val="2"/>
          <w:sz w:val="16"/>
          <w:szCs w:val="16"/>
        </w:rPr>
        <w:t> </w:t>
      </w:r>
      <w:r>
        <w:rPr>
          <w:rFonts w:ascii="Arial" w:hAnsi="Arial" w:cs="Arial" w:eastAsia="Arial"/>
          <w:position w:val="2"/>
          <w:sz w:val="16"/>
          <w:szCs w:val="16"/>
        </w:rPr>
        <w:t>the</w:t>
      </w:r>
      <w:r>
        <w:rPr>
          <w:rFonts w:ascii="Arial" w:hAnsi="Arial" w:cs="Arial" w:eastAsia="Arial"/>
          <w:spacing w:val="-39"/>
          <w:position w:val="2"/>
          <w:sz w:val="16"/>
          <w:szCs w:val="16"/>
        </w:rPr>
        <w:t> </w:t>
      </w:r>
      <w:r>
        <w:rPr>
          <w:rFonts w:ascii="Arial" w:hAnsi="Arial" w:cs="Arial" w:eastAsia="Arial"/>
          <w:spacing w:val="-39"/>
          <w:position w:val="2"/>
          <w:sz w:val="16"/>
          <w:szCs w:val="16"/>
        </w:rPr>
      </w:r>
      <w:r>
        <w:rPr>
          <w:rFonts w:ascii="Arial" w:hAnsi="Arial" w:cs="Arial" w:eastAsia="Arial"/>
          <w:sz w:val="17"/>
          <w:szCs w:val="17"/>
        </w:rPr>
        <w:t>remaining </w:t>
      </w:r>
      <w:r>
        <w:rPr>
          <w:rFonts w:ascii="Arial" w:hAnsi="Arial" w:cs="Arial" w:eastAsia="Arial"/>
          <w:i/>
          <w:sz w:val="17"/>
          <w:szCs w:val="17"/>
        </w:rPr>
        <w:t>β</w:t>
      </w:r>
      <w:r>
        <w:rPr>
          <w:rFonts w:ascii="Arial" w:hAnsi="Arial" w:cs="Arial" w:eastAsia="Arial"/>
          <w:sz w:val="17"/>
          <w:szCs w:val="17"/>
        </w:rPr>
        <w:t>’s represent the coefficients of the</w:t>
      </w:r>
      <w:r>
        <w:rPr>
          <w:rFonts w:ascii="Arial" w:hAnsi="Arial" w:cs="Arial" w:eastAsia="Arial"/>
          <w:spacing w:val="5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corresponding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position w:val="2"/>
          <w:sz w:val="17"/>
          <w:szCs w:val="17"/>
        </w:rPr>
        <w:t>variables, </w:t>
      </w:r>
      <w:r>
        <w:rPr>
          <w:rFonts w:ascii="Arial" w:hAnsi="Arial" w:cs="Arial" w:eastAsia="Arial"/>
          <w:spacing w:val="-3"/>
          <w:position w:val="2"/>
          <w:sz w:val="17"/>
          <w:szCs w:val="17"/>
        </w:rPr>
        <w:t>and </w:t>
      </w:r>
      <w:r>
        <w:rPr>
          <w:rFonts w:ascii="Arial" w:hAnsi="Arial" w:cs="Arial" w:eastAsia="Arial"/>
          <w:i/>
          <w:position w:val="2"/>
          <w:sz w:val="17"/>
          <w:szCs w:val="17"/>
        </w:rPr>
        <w:t>u</w:t>
      </w:r>
      <w:r>
        <w:rPr>
          <w:rFonts w:ascii="Arial" w:hAnsi="Arial" w:cs="Arial" w:eastAsia="Arial"/>
          <w:i/>
          <w:sz w:val="11"/>
          <w:szCs w:val="11"/>
        </w:rPr>
        <w:t>i  </w:t>
      </w:r>
      <w:r>
        <w:rPr>
          <w:rFonts w:ascii="Arial" w:hAnsi="Arial" w:cs="Arial" w:eastAsia="Arial"/>
          <w:spacing w:val="-3"/>
          <w:position w:val="2"/>
          <w:sz w:val="17"/>
          <w:szCs w:val="17"/>
        </w:rPr>
        <w:t>is </w:t>
      </w:r>
      <w:r>
        <w:rPr>
          <w:rFonts w:ascii="Arial" w:hAnsi="Arial" w:cs="Arial" w:eastAsia="Arial"/>
          <w:position w:val="2"/>
          <w:sz w:val="17"/>
          <w:szCs w:val="17"/>
        </w:rPr>
        <w:t>the error</w:t>
      </w:r>
      <w:r>
        <w:rPr>
          <w:rFonts w:ascii="Arial" w:hAnsi="Arial" w:cs="Arial" w:eastAsia="Arial"/>
          <w:spacing w:val="-13"/>
          <w:position w:val="2"/>
          <w:sz w:val="17"/>
          <w:szCs w:val="17"/>
        </w:rPr>
        <w:t> </w:t>
      </w:r>
      <w:r>
        <w:rPr>
          <w:rFonts w:ascii="Arial" w:hAnsi="Arial" w:cs="Arial" w:eastAsia="Arial"/>
          <w:position w:val="2"/>
          <w:sz w:val="17"/>
          <w:szCs w:val="17"/>
        </w:rPr>
        <w:t>term.</w:t>
      </w:r>
      <w:r>
        <w:rPr>
          <w:rFonts w:ascii="Arial" w:hAnsi="Arial" w:cs="Arial" w:eastAsia="Arial"/>
          <w:sz w:val="17"/>
          <w:szCs w:val="17"/>
        </w:rPr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p>
      <w:pPr>
        <w:spacing w:before="0"/>
        <w:ind w:left="104" w:right="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w w:val="105"/>
          <w:sz w:val="16"/>
        </w:rPr>
        <w:t>Data</w:t>
      </w:r>
      <w:r>
        <w:rPr>
          <w:rFonts w:ascii="Arial"/>
          <w:sz w:val="16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spacing w:line="249" w:lineRule="auto" w:before="0"/>
        <w:ind w:left="104" w:right="114" w:firstLine="0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Arial"/>
          <w:w w:val="105"/>
          <w:sz w:val="17"/>
        </w:rPr>
        <w:t>A total of 111 timber parties from two different timber depots</w:t>
      </w:r>
      <w:r>
        <w:rPr>
          <w:rFonts w:ascii="Arial"/>
          <w:spacing w:val="11"/>
          <w:w w:val="105"/>
          <w:sz w:val="17"/>
        </w:rPr>
        <w:t> </w:t>
      </w:r>
      <w:r>
        <w:rPr>
          <w:rFonts w:ascii="Arial"/>
          <w:spacing w:val="-3"/>
          <w:w w:val="105"/>
          <w:sz w:val="17"/>
        </w:rPr>
        <w:t>in</w:t>
      </w:r>
      <w:r>
        <w:rPr>
          <w:rFonts w:ascii="Arial"/>
          <w:w w:val="98"/>
          <w:sz w:val="17"/>
        </w:rPr>
        <w:t> </w:t>
      </w:r>
      <w:r>
        <w:rPr>
          <w:rFonts w:ascii="Arial"/>
          <w:w w:val="105"/>
          <w:sz w:val="16"/>
        </w:rPr>
        <w:t>Artvin SFE, in approximately one year period (from October 2006</w:t>
      </w:r>
      <w:r>
        <w:rPr>
          <w:rFonts w:ascii="Arial"/>
          <w:spacing w:val="6"/>
          <w:w w:val="105"/>
          <w:sz w:val="16"/>
        </w:rPr>
        <w:t> </w:t>
      </w:r>
      <w:r>
        <w:rPr>
          <w:rFonts w:ascii="Arial"/>
          <w:spacing w:val="4"/>
          <w:w w:val="105"/>
          <w:sz w:val="16"/>
        </w:rPr>
        <w:t>to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6"/>
        </w:rPr>
        <w:t>December 2007) have been analyzed. Data on roundwood</w:t>
      </w:r>
      <w:r>
        <w:rPr>
          <w:rFonts w:ascii="Arial"/>
          <w:spacing w:val="39"/>
          <w:w w:val="105"/>
          <w:sz w:val="16"/>
        </w:rPr>
        <w:t> </w:t>
      </w:r>
      <w:r>
        <w:rPr>
          <w:rFonts w:ascii="Arial"/>
          <w:w w:val="105"/>
          <w:sz w:val="16"/>
        </w:rPr>
        <w:t>auction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7"/>
        </w:rPr>
        <w:t>sales</w:t>
      </w:r>
      <w:r>
        <w:rPr>
          <w:rFonts w:ascii="Arial"/>
          <w:spacing w:val="-17"/>
          <w:w w:val="105"/>
          <w:sz w:val="17"/>
        </w:rPr>
        <w:t> </w:t>
      </w:r>
      <w:r>
        <w:rPr>
          <w:rFonts w:ascii="Arial"/>
          <w:w w:val="105"/>
          <w:sz w:val="17"/>
        </w:rPr>
        <w:t>price</w:t>
      </w:r>
      <w:r>
        <w:rPr>
          <w:rFonts w:ascii="Arial"/>
          <w:spacing w:val="-19"/>
          <w:w w:val="105"/>
          <w:sz w:val="17"/>
        </w:rPr>
        <w:t> </w:t>
      </w:r>
      <w:r>
        <w:rPr>
          <w:rFonts w:ascii="Arial"/>
          <w:w w:val="105"/>
          <w:sz w:val="17"/>
        </w:rPr>
        <w:t>of</w:t>
      </w:r>
      <w:r>
        <w:rPr>
          <w:rFonts w:ascii="Arial"/>
          <w:spacing w:val="-17"/>
          <w:w w:val="105"/>
          <w:sz w:val="17"/>
        </w:rPr>
        <w:t> </w:t>
      </w:r>
      <w:r>
        <w:rPr>
          <w:rFonts w:ascii="Arial"/>
          <w:w w:val="105"/>
          <w:sz w:val="17"/>
        </w:rPr>
        <w:t>these</w:t>
      </w:r>
      <w:r>
        <w:rPr>
          <w:rFonts w:ascii="Arial"/>
          <w:spacing w:val="-19"/>
          <w:w w:val="105"/>
          <w:sz w:val="17"/>
        </w:rPr>
        <w:t> </w:t>
      </w:r>
      <w:r>
        <w:rPr>
          <w:rFonts w:ascii="Arial"/>
          <w:w w:val="105"/>
          <w:sz w:val="17"/>
        </w:rPr>
        <w:t>parties</w:t>
      </w:r>
      <w:r>
        <w:rPr>
          <w:rFonts w:ascii="Arial"/>
          <w:spacing w:val="-14"/>
          <w:w w:val="105"/>
          <w:sz w:val="17"/>
        </w:rPr>
        <w:t> </w:t>
      </w:r>
      <w:r>
        <w:rPr>
          <w:rFonts w:ascii="Arial"/>
          <w:w w:val="105"/>
          <w:sz w:val="17"/>
        </w:rPr>
        <w:t>and</w:t>
      </w:r>
      <w:r>
        <w:rPr>
          <w:rFonts w:ascii="Arial"/>
          <w:spacing w:val="-17"/>
          <w:w w:val="105"/>
          <w:sz w:val="17"/>
        </w:rPr>
        <w:t> </w:t>
      </w:r>
      <w:r>
        <w:rPr>
          <w:rFonts w:ascii="Arial"/>
          <w:w w:val="105"/>
          <w:sz w:val="17"/>
        </w:rPr>
        <w:t>v</w:t>
      </w:r>
      <w:r>
        <w:rPr>
          <w:rFonts w:ascii="Arial"/>
          <w:w w:val="105"/>
          <w:sz w:val="16"/>
        </w:rPr>
        <w:t>a</w:t>
      </w:r>
      <w:r>
        <w:rPr>
          <w:rFonts w:ascii="Arial"/>
          <w:w w:val="105"/>
          <w:sz w:val="17"/>
        </w:rPr>
        <w:t>riables</w:t>
      </w:r>
      <w:r>
        <w:rPr>
          <w:rFonts w:ascii="Arial"/>
          <w:spacing w:val="-17"/>
          <w:w w:val="105"/>
          <w:sz w:val="17"/>
        </w:rPr>
        <w:t> </w:t>
      </w:r>
      <w:r>
        <w:rPr>
          <w:rFonts w:ascii="Arial"/>
          <w:w w:val="105"/>
          <w:sz w:val="17"/>
        </w:rPr>
        <w:t>such</w:t>
      </w:r>
      <w:r>
        <w:rPr>
          <w:rFonts w:ascii="Arial"/>
          <w:spacing w:val="-17"/>
          <w:w w:val="105"/>
          <w:sz w:val="17"/>
        </w:rPr>
        <w:t> </w:t>
      </w:r>
      <w:r>
        <w:rPr>
          <w:rFonts w:ascii="Arial"/>
          <w:w w:val="105"/>
          <w:sz w:val="17"/>
        </w:rPr>
        <w:t>as</w:t>
      </w:r>
      <w:r>
        <w:rPr>
          <w:rFonts w:ascii="Arial"/>
          <w:spacing w:val="-14"/>
          <w:w w:val="105"/>
          <w:sz w:val="17"/>
        </w:rPr>
        <w:t> </w:t>
      </w:r>
      <w:r>
        <w:rPr>
          <w:rFonts w:ascii="Arial"/>
          <w:w w:val="105"/>
          <w:sz w:val="17"/>
        </w:rPr>
        <w:t>appraised</w:t>
      </w:r>
      <w:r>
        <w:rPr>
          <w:rFonts w:ascii="Arial"/>
          <w:spacing w:val="-17"/>
          <w:w w:val="105"/>
          <w:sz w:val="17"/>
        </w:rPr>
        <w:t> </w:t>
      </w:r>
      <w:r>
        <w:rPr>
          <w:rFonts w:ascii="Arial"/>
          <w:w w:val="105"/>
          <w:sz w:val="17"/>
        </w:rPr>
        <w:t>value,</w:t>
      </w:r>
      <w:r>
        <w:rPr>
          <w:rFonts w:ascii="Arial"/>
          <w:w w:val="98"/>
          <w:sz w:val="17"/>
        </w:rPr>
        <w:t> </w:t>
      </w:r>
      <w:r>
        <w:rPr>
          <w:rFonts w:ascii="Arial"/>
          <w:w w:val="105"/>
          <w:sz w:val="16"/>
        </w:rPr>
        <w:t>number</w:t>
      </w:r>
      <w:r>
        <w:rPr>
          <w:rFonts w:ascii="Arial"/>
          <w:spacing w:val="19"/>
          <w:w w:val="105"/>
          <w:sz w:val="16"/>
        </w:rPr>
        <w:t> </w:t>
      </w:r>
      <w:r>
        <w:rPr>
          <w:rFonts w:ascii="Arial"/>
          <w:w w:val="105"/>
          <w:sz w:val="16"/>
        </w:rPr>
        <w:t>of</w:t>
      </w:r>
      <w:r>
        <w:rPr>
          <w:rFonts w:ascii="Arial"/>
          <w:spacing w:val="19"/>
          <w:w w:val="105"/>
          <w:sz w:val="16"/>
        </w:rPr>
        <w:t> </w:t>
      </w:r>
      <w:r>
        <w:rPr>
          <w:rFonts w:ascii="Arial"/>
          <w:w w:val="105"/>
          <w:sz w:val="16"/>
        </w:rPr>
        <w:t>bidders,</w:t>
      </w:r>
      <w:r>
        <w:rPr>
          <w:rFonts w:ascii="Arial"/>
          <w:spacing w:val="19"/>
          <w:w w:val="105"/>
          <w:sz w:val="16"/>
        </w:rPr>
        <w:t> </w:t>
      </w:r>
      <w:r>
        <w:rPr>
          <w:rFonts w:ascii="Arial"/>
          <w:w w:val="105"/>
          <w:sz w:val="16"/>
        </w:rPr>
        <w:t>year</w:t>
      </w:r>
      <w:r>
        <w:rPr>
          <w:rFonts w:ascii="Arial"/>
          <w:spacing w:val="19"/>
          <w:w w:val="105"/>
          <w:sz w:val="16"/>
        </w:rPr>
        <w:t> </w:t>
      </w:r>
      <w:r>
        <w:rPr>
          <w:rFonts w:ascii="Arial"/>
          <w:w w:val="105"/>
          <w:sz w:val="16"/>
        </w:rPr>
        <w:t>after</w:t>
      </w:r>
      <w:r>
        <w:rPr>
          <w:rFonts w:ascii="Arial"/>
          <w:spacing w:val="19"/>
          <w:w w:val="105"/>
          <w:sz w:val="16"/>
        </w:rPr>
        <w:t> </w:t>
      </w:r>
      <w:r>
        <w:rPr>
          <w:rFonts w:ascii="Arial"/>
          <w:w w:val="105"/>
          <w:sz w:val="16"/>
        </w:rPr>
        <w:t>harvest,</w:t>
      </w:r>
      <w:r>
        <w:rPr>
          <w:rFonts w:ascii="Arial"/>
          <w:spacing w:val="19"/>
          <w:w w:val="105"/>
          <w:sz w:val="16"/>
        </w:rPr>
        <w:t> </w:t>
      </w:r>
      <w:r>
        <w:rPr>
          <w:rFonts w:ascii="Arial"/>
          <w:w w:val="105"/>
          <w:sz w:val="16"/>
        </w:rPr>
        <w:t>diameter,</w:t>
      </w:r>
      <w:r>
        <w:rPr>
          <w:rFonts w:ascii="Arial"/>
          <w:spacing w:val="19"/>
          <w:w w:val="105"/>
          <w:sz w:val="16"/>
        </w:rPr>
        <w:t> </w:t>
      </w:r>
      <w:r>
        <w:rPr>
          <w:rFonts w:ascii="Arial"/>
          <w:w w:val="105"/>
          <w:sz w:val="16"/>
        </w:rPr>
        <w:t>length</w:t>
      </w:r>
      <w:r>
        <w:rPr>
          <w:rFonts w:ascii="Arial"/>
          <w:spacing w:val="15"/>
          <w:w w:val="105"/>
          <w:sz w:val="16"/>
        </w:rPr>
        <w:t> </w:t>
      </w:r>
      <w:r>
        <w:rPr>
          <w:rFonts w:ascii="Arial"/>
          <w:w w:val="105"/>
          <w:sz w:val="16"/>
        </w:rPr>
        <w:t>and</w:t>
      </w:r>
      <w:r>
        <w:rPr>
          <w:rFonts w:ascii="Arial"/>
          <w:spacing w:val="15"/>
          <w:w w:val="105"/>
          <w:sz w:val="16"/>
        </w:rPr>
        <w:t> </w:t>
      </w:r>
      <w:r>
        <w:rPr>
          <w:rFonts w:ascii="Arial"/>
          <w:w w:val="105"/>
          <w:sz w:val="16"/>
        </w:rPr>
        <w:t>quality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6"/>
        </w:rPr>
        <w:t>properties </w:t>
      </w:r>
      <w:r>
        <w:rPr>
          <w:rFonts w:ascii="Arial"/>
          <w:spacing w:val="-4"/>
          <w:w w:val="105"/>
          <w:sz w:val="16"/>
        </w:rPr>
        <w:t>of </w:t>
      </w:r>
      <w:r>
        <w:rPr>
          <w:rFonts w:ascii="Arial"/>
          <w:w w:val="105"/>
          <w:sz w:val="16"/>
        </w:rPr>
        <w:t>logs and insect-damage level have  been </w:t>
      </w:r>
      <w:r>
        <w:rPr>
          <w:rFonts w:ascii="Arial"/>
          <w:spacing w:val="25"/>
          <w:w w:val="105"/>
          <w:sz w:val="16"/>
        </w:rPr>
        <w:t> </w:t>
      </w:r>
      <w:r>
        <w:rPr>
          <w:rFonts w:ascii="Arial"/>
          <w:w w:val="105"/>
          <w:sz w:val="16"/>
        </w:rPr>
        <w:t>collected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6"/>
        </w:rPr>
        <w:t>from Artvin SFE sales table and records. As data in this study</w:t>
      </w:r>
      <w:r>
        <w:rPr>
          <w:rFonts w:ascii="Arial"/>
          <w:spacing w:val="5"/>
          <w:w w:val="105"/>
          <w:sz w:val="16"/>
        </w:rPr>
        <w:t> </w:t>
      </w:r>
      <w:r>
        <w:rPr>
          <w:rFonts w:ascii="Arial"/>
          <w:w w:val="105"/>
          <w:sz w:val="16"/>
        </w:rPr>
        <w:t>cover</w:t>
      </w:r>
      <w:r>
        <w:rPr>
          <w:rFonts w:ascii="Arial"/>
          <w:w w:val="104"/>
          <w:sz w:val="16"/>
        </w:rPr>
        <w:t> </w:t>
      </w:r>
      <w:r>
        <w:rPr>
          <w:rFonts w:ascii="Arial"/>
          <w:w w:val="105"/>
          <w:sz w:val="17"/>
        </w:rPr>
        <w:t>one</w:t>
      </w:r>
      <w:r>
        <w:rPr>
          <w:rFonts w:ascii="Arial"/>
          <w:spacing w:val="-15"/>
          <w:w w:val="105"/>
          <w:sz w:val="17"/>
        </w:rPr>
        <w:t> </w:t>
      </w:r>
      <w:r>
        <w:rPr>
          <w:rFonts w:ascii="Arial"/>
          <w:w w:val="105"/>
          <w:sz w:val="17"/>
        </w:rPr>
        <w:t>year</w:t>
      </w:r>
      <w:r>
        <w:rPr>
          <w:rFonts w:ascii="Arial"/>
          <w:spacing w:val="-12"/>
          <w:w w:val="105"/>
          <w:sz w:val="17"/>
        </w:rPr>
        <w:t> </w:t>
      </w:r>
      <w:r>
        <w:rPr>
          <w:rFonts w:ascii="Arial"/>
          <w:w w:val="105"/>
          <w:sz w:val="17"/>
        </w:rPr>
        <w:t>period,</w:t>
      </w:r>
      <w:r>
        <w:rPr>
          <w:rFonts w:ascii="Arial"/>
          <w:spacing w:val="-15"/>
          <w:w w:val="105"/>
          <w:sz w:val="17"/>
        </w:rPr>
        <w:t> </w:t>
      </w:r>
      <w:r>
        <w:rPr>
          <w:rFonts w:ascii="Arial"/>
          <w:w w:val="105"/>
          <w:sz w:val="17"/>
        </w:rPr>
        <w:t>current</w:t>
      </w:r>
      <w:r>
        <w:rPr>
          <w:rFonts w:ascii="Arial"/>
          <w:spacing w:val="-15"/>
          <w:w w:val="105"/>
          <w:sz w:val="17"/>
        </w:rPr>
        <w:t> </w:t>
      </w:r>
      <w:r>
        <w:rPr>
          <w:rFonts w:ascii="Arial"/>
          <w:w w:val="105"/>
          <w:sz w:val="17"/>
        </w:rPr>
        <w:t>prices</w:t>
      </w:r>
      <w:r>
        <w:rPr>
          <w:rFonts w:ascii="Arial"/>
          <w:spacing w:val="-15"/>
          <w:w w:val="105"/>
          <w:sz w:val="17"/>
        </w:rPr>
        <w:t> </w:t>
      </w:r>
      <w:r>
        <w:rPr>
          <w:rFonts w:ascii="Arial"/>
          <w:w w:val="105"/>
          <w:sz w:val="17"/>
        </w:rPr>
        <w:t>have</w:t>
      </w:r>
      <w:r>
        <w:rPr>
          <w:rFonts w:ascii="Arial"/>
          <w:spacing w:val="-17"/>
          <w:w w:val="105"/>
          <w:sz w:val="17"/>
        </w:rPr>
        <w:t> </w:t>
      </w:r>
      <w:r>
        <w:rPr>
          <w:rFonts w:ascii="Arial"/>
          <w:w w:val="105"/>
          <w:sz w:val="17"/>
        </w:rPr>
        <w:t>been</w:t>
      </w:r>
      <w:r>
        <w:rPr>
          <w:rFonts w:ascii="Arial"/>
          <w:spacing w:val="-15"/>
          <w:w w:val="105"/>
          <w:sz w:val="17"/>
        </w:rPr>
        <w:t> </w:t>
      </w:r>
      <w:r>
        <w:rPr>
          <w:rFonts w:ascii="Arial"/>
          <w:w w:val="105"/>
          <w:sz w:val="17"/>
        </w:rPr>
        <w:t>used</w:t>
      </w:r>
      <w:r>
        <w:rPr>
          <w:rFonts w:ascii="Arial"/>
          <w:spacing w:val="-17"/>
          <w:w w:val="105"/>
          <w:sz w:val="17"/>
        </w:rPr>
        <w:t> </w:t>
      </w:r>
      <w:r>
        <w:rPr>
          <w:rFonts w:ascii="Arial"/>
          <w:w w:val="105"/>
          <w:sz w:val="17"/>
        </w:rPr>
        <w:t>for</w:t>
      </w:r>
      <w:r>
        <w:rPr>
          <w:rFonts w:ascii="Arial"/>
          <w:spacing w:val="-15"/>
          <w:w w:val="105"/>
          <w:sz w:val="17"/>
        </w:rPr>
        <w:t> </w:t>
      </w:r>
      <w:r>
        <w:rPr>
          <w:rFonts w:ascii="Arial"/>
          <w:w w:val="105"/>
          <w:sz w:val="17"/>
        </w:rPr>
        <w:t>sales</w:t>
      </w:r>
      <w:r>
        <w:rPr>
          <w:rFonts w:ascii="Arial"/>
          <w:spacing w:val="-12"/>
          <w:w w:val="105"/>
          <w:sz w:val="17"/>
        </w:rPr>
        <w:t> </w:t>
      </w:r>
      <w:r>
        <w:rPr>
          <w:rFonts w:ascii="Arial"/>
          <w:w w:val="105"/>
          <w:sz w:val="17"/>
        </w:rPr>
        <w:t>price</w:t>
      </w:r>
      <w:r>
        <w:rPr>
          <w:rFonts w:ascii="Arial"/>
          <w:spacing w:val="-15"/>
          <w:w w:val="105"/>
          <w:sz w:val="17"/>
        </w:rPr>
        <w:t> </w:t>
      </w:r>
      <w:r>
        <w:rPr>
          <w:rFonts w:ascii="Arial"/>
          <w:w w:val="105"/>
          <w:sz w:val="17"/>
        </w:rPr>
        <w:t>and</w:t>
      </w:r>
      <w:r>
        <w:rPr>
          <w:rFonts w:ascii="Arial"/>
          <w:w w:val="98"/>
          <w:sz w:val="17"/>
        </w:rPr>
        <w:t> </w:t>
      </w:r>
      <w:r>
        <w:rPr>
          <w:rFonts w:ascii="Arial"/>
          <w:sz w:val="17"/>
        </w:rPr>
        <w:t>appraised</w:t>
      </w:r>
      <w:r>
        <w:rPr>
          <w:rFonts w:ascii="Arial"/>
          <w:spacing w:val="-14"/>
          <w:sz w:val="17"/>
        </w:rPr>
        <w:t> </w:t>
      </w:r>
      <w:r>
        <w:rPr>
          <w:rFonts w:ascii="Arial"/>
          <w:sz w:val="17"/>
        </w:rPr>
        <w:t>value.</w:t>
      </w:r>
    </w:p>
    <w:p>
      <w:pPr>
        <w:spacing w:line="244" w:lineRule="auto" w:before="0"/>
        <w:ind w:left="104" w:right="114" w:firstLine="182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z w:val="17"/>
          <w:szCs w:val="17"/>
        </w:rPr>
        <w:t>In sales depots, damage level </w:t>
      </w:r>
      <w:r>
        <w:rPr>
          <w:rFonts w:ascii="Arial" w:hAnsi="Arial" w:cs="Arial" w:eastAsia="Arial"/>
          <w:spacing w:val="-5"/>
          <w:sz w:val="17"/>
          <w:szCs w:val="17"/>
        </w:rPr>
        <w:t>of </w:t>
      </w:r>
      <w:r>
        <w:rPr>
          <w:rFonts w:ascii="Arial" w:hAnsi="Arial" w:cs="Arial" w:eastAsia="Arial"/>
          <w:sz w:val="17"/>
          <w:szCs w:val="17"/>
        </w:rPr>
        <w:t>a given timber party, which</w:t>
      </w:r>
      <w:r>
        <w:rPr>
          <w:rFonts w:ascii="Arial" w:hAnsi="Arial" w:cs="Arial" w:eastAsia="Arial"/>
          <w:spacing w:val="42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may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typically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be</w:t>
      </w:r>
      <w:r>
        <w:rPr>
          <w:rFonts w:ascii="Arial" w:hAnsi="Arial" w:cs="Arial" w:eastAsia="Arial"/>
          <w:spacing w:val="21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made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up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by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30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pacing w:val="2"/>
          <w:sz w:val="17"/>
          <w:szCs w:val="17"/>
        </w:rPr>
        <w:t>to</w:t>
      </w:r>
      <w:r>
        <w:rPr>
          <w:rFonts w:ascii="Arial" w:hAnsi="Arial" w:cs="Arial" w:eastAsia="Arial"/>
          <w:spacing w:val="14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50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logs,</w:t>
      </w:r>
      <w:r>
        <w:rPr>
          <w:rFonts w:ascii="Arial" w:hAnsi="Arial" w:cs="Arial" w:eastAsia="Arial"/>
          <w:spacing w:val="22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has</w:t>
      </w:r>
      <w:r>
        <w:rPr>
          <w:rFonts w:ascii="Arial" w:hAnsi="Arial" w:cs="Arial" w:eastAsia="Arial"/>
          <w:spacing w:val="23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been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specified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by</w:t>
      </w:r>
      <w:r>
        <w:rPr>
          <w:rFonts w:ascii="Arial" w:hAnsi="Arial" w:cs="Arial" w:eastAsia="Arial"/>
          <w:spacing w:val="23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the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proportion</w:t>
      </w:r>
      <w:r>
        <w:rPr>
          <w:rFonts w:ascii="Arial" w:hAnsi="Arial" w:cs="Arial" w:eastAsia="Arial"/>
          <w:spacing w:val="16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of</w:t>
      </w:r>
      <w:r>
        <w:rPr>
          <w:rFonts w:ascii="Arial" w:hAnsi="Arial" w:cs="Arial" w:eastAsia="Arial"/>
          <w:spacing w:val="15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the</w:t>
      </w:r>
      <w:r>
        <w:rPr>
          <w:rFonts w:ascii="Arial" w:hAnsi="Arial" w:cs="Arial" w:eastAsia="Arial"/>
          <w:spacing w:val="16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number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of</w:t>
      </w:r>
      <w:r>
        <w:rPr>
          <w:rFonts w:ascii="Arial" w:hAnsi="Arial" w:cs="Arial" w:eastAsia="Arial"/>
          <w:spacing w:val="15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insect-damaged</w:t>
      </w:r>
      <w:r>
        <w:rPr>
          <w:rFonts w:ascii="Arial" w:hAnsi="Arial" w:cs="Arial" w:eastAsia="Arial"/>
          <w:spacing w:val="16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logs</w:t>
      </w:r>
      <w:r>
        <w:rPr>
          <w:rFonts w:ascii="Arial" w:hAnsi="Arial" w:cs="Arial" w:eastAsia="Arial"/>
          <w:spacing w:val="15"/>
          <w:sz w:val="17"/>
          <w:szCs w:val="17"/>
        </w:rPr>
        <w:t> </w:t>
      </w:r>
      <w:r>
        <w:rPr>
          <w:rFonts w:ascii="Arial" w:hAnsi="Arial" w:cs="Arial" w:eastAsia="Arial"/>
          <w:spacing w:val="2"/>
          <w:sz w:val="17"/>
          <w:szCs w:val="17"/>
        </w:rPr>
        <w:t>to</w:t>
      </w:r>
      <w:r>
        <w:rPr>
          <w:rFonts w:ascii="Arial" w:hAnsi="Arial" w:cs="Arial" w:eastAsia="Arial"/>
          <w:spacing w:val="16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all</w:t>
      </w:r>
      <w:r>
        <w:rPr>
          <w:rFonts w:ascii="Arial" w:hAnsi="Arial" w:cs="Arial" w:eastAsia="Arial"/>
          <w:spacing w:val="15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logs</w:t>
      </w:r>
      <w:r>
        <w:rPr>
          <w:rFonts w:ascii="Arial" w:hAnsi="Arial" w:cs="Arial" w:eastAsia="Arial"/>
          <w:spacing w:val="20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in</w:t>
      </w:r>
      <w:r>
        <w:rPr>
          <w:rFonts w:ascii="Arial" w:hAnsi="Arial" w:cs="Arial" w:eastAsia="Arial"/>
          <w:spacing w:val="16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the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party. Whether a log </w:t>
      </w:r>
      <w:r>
        <w:rPr>
          <w:rFonts w:ascii="Arial" w:hAnsi="Arial" w:cs="Arial" w:eastAsia="Arial"/>
          <w:spacing w:val="-3"/>
          <w:sz w:val="17"/>
          <w:szCs w:val="17"/>
        </w:rPr>
        <w:t>is </w:t>
      </w:r>
      <w:r>
        <w:rPr>
          <w:rFonts w:ascii="Arial" w:hAnsi="Arial" w:cs="Arial" w:eastAsia="Arial"/>
          <w:sz w:val="17"/>
          <w:szCs w:val="17"/>
        </w:rPr>
        <w:t>insect-damaged </w:t>
      </w:r>
      <w:r>
        <w:rPr>
          <w:rFonts w:ascii="Arial" w:hAnsi="Arial" w:cs="Arial" w:eastAsia="Arial"/>
          <w:spacing w:val="-3"/>
          <w:sz w:val="17"/>
          <w:szCs w:val="17"/>
        </w:rPr>
        <w:t>is </w:t>
      </w:r>
      <w:r>
        <w:rPr>
          <w:rFonts w:ascii="Arial" w:hAnsi="Arial" w:cs="Arial" w:eastAsia="Arial"/>
          <w:sz w:val="17"/>
          <w:szCs w:val="17"/>
        </w:rPr>
        <w:t>decided by</w:t>
      </w:r>
      <w:r>
        <w:rPr>
          <w:rFonts w:ascii="Arial" w:hAnsi="Arial" w:cs="Arial" w:eastAsia="Arial"/>
          <w:spacing w:val="24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physical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detection of logs; any visible sign or trace of insect damage on</w:t>
      </w:r>
      <w:r>
        <w:rPr>
          <w:rFonts w:ascii="Arial" w:hAnsi="Arial" w:cs="Arial" w:eastAsia="Arial"/>
          <w:spacing w:val="19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the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outer surface of a log </w:t>
      </w:r>
      <w:r>
        <w:rPr>
          <w:rFonts w:ascii="Arial" w:hAnsi="Arial" w:cs="Arial" w:eastAsia="Arial"/>
          <w:spacing w:val="-2"/>
          <w:sz w:val="17"/>
          <w:szCs w:val="17"/>
        </w:rPr>
        <w:t>was </w:t>
      </w:r>
      <w:r>
        <w:rPr>
          <w:rFonts w:ascii="Arial" w:hAnsi="Arial" w:cs="Arial" w:eastAsia="Arial"/>
          <w:sz w:val="17"/>
          <w:szCs w:val="17"/>
        </w:rPr>
        <w:t>deemed </w:t>
      </w:r>
      <w:r>
        <w:rPr>
          <w:rFonts w:ascii="Arial" w:hAnsi="Arial" w:cs="Arial" w:eastAsia="Arial"/>
          <w:spacing w:val="2"/>
          <w:sz w:val="17"/>
          <w:szCs w:val="17"/>
        </w:rPr>
        <w:t>to </w:t>
      </w:r>
      <w:r>
        <w:rPr>
          <w:rFonts w:ascii="Arial" w:hAnsi="Arial" w:cs="Arial" w:eastAsia="Arial"/>
          <w:sz w:val="17"/>
          <w:szCs w:val="17"/>
        </w:rPr>
        <w:t>be enough </w:t>
      </w:r>
      <w:r>
        <w:rPr>
          <w:rFonts w:ascii="Arial" w:hAnsi="Arial" w:cs="Arial" w:eastAsia="Arial"/>
          <w:spacing w:val="2"/>
          <w:sz w:val="17"/>
          <w:szCs w:val="17"/>
        </w:rPr>
        <w:t>to </w:t>
      </w:r>
      <w:r>
        <w:rPr>
          <w:rFonts w:ascii="Arial" w:hAnsi="Arial" w:cs="Arial" w:eastAsia="Arial"/>
          <w:sz w:val="17"/>
          <w:szCs w:val="17"/>
        </w:rPr>
        <w:t>classify</w:t>
      </w:r>
      <w:r>
        <w:rPr>
          <w:rFonts w:ascii="Arial" w:hAnsi="Arial" w:cs="Arial" w:eastAsia="Arial"/>
          <w:spacing w:val="14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that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individual log </w:t>
      </w:r>
      <w:r>
        <w:rPr>
          <w:rFonts w:ascii="Arial" w:hAnsi="Arial" w:cs="Arial" w:eastAsia="Arial"/>
          <w:spacing w:val="-5"/>
          <w:sz w:val="17"/>
          <w:szCs w:val="17"/>
        </w:rPr>
        <w:t>as </w:t>
      </w:r>
      <w:r>
        <w:rPr>
          <w:rFonts w:ascii="Arial" w:hAnsi="Arial" w:cs="Arial" w:eastAsia="Arial"/>
          <w:sz w:val="17"/>
          <w:szCs w:val="17"/>
        </w:rPr>
        <w:t>“damaged”. As briefly mentioned in the</w:t>
      </w:r>
      <w:r>
        <w:rPr>
          <w:rFonts w:ascii="Arial" w:hAnsi="Arial" w:cs="Arial" w:eastAsia="Arial"/>
          <w:spacing w:val="3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previous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section, damage level </w:t>
      </w:r>
      <w:r>
        <w:rPr>
          <w:rFonts w:ascii="Arial" w:hAnsi="Arial" w:cs="Arial" w:eastAsia="Arial"/>
          <w:spacing w:val="-5"/>
          <w:sz w:val="17"/>
          <w:szCs w:val="17"/>
        </w:rPr>
        <w:t>of </w:t>
      </w:r>
      <w:r>
        <w:rPr>
          <w:rFonts w:ascii="Arial" w:hAnsi="Arial" w:cs="Arial" w:eastAsia="Arial"/>
          <w:sz w:val="17"/>
          <w:szCs w:val="17"/>
        </w:rPr>
        <w:t>timber parties can be 0, 1 </w:t>
      </w:r>
      <w:r>
        <w:rPr>
          <w:rFonts w:ascii="Arial" w:hAnsi="Arial" w:cs="Arial" w:eastAsia="Arial"/>
          <w:spacing w:val="-5"/>
          <w:sz w:val="17"/>
          <w:szCs w:val="17"/>
        </w:rPr>
        <w:t>or </w:t>
      </w:r>
      <w:r>
        <w:rPr>
          <w:rFonts w:ascii="Arial" w:hAnsi="Arial" w:cs="Arial" w:eastAsia="Arial"/>
          <w:sz w:val="17"/>
          <w:szCs w:val="17"/>
        </w:rPr>
        <w:t>2. Non-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6"/>
          <w:szCs w:val="16"/>
        </w:rPr>
        <w:t>damaged (level 0) parties comprise no damaged  logs,  slightly</w:t>
      </w:r>
      <w:r>
        <w:rPr>
          <w:rFonts w:ascii="Arial" w:hAnsi="Arial" w:cs="Arial" w:eastAsia="Arial"/>
          <w:spacing w:val="-27"/>
          <w:sz w:val="16"/>
          <w:szCs w:val="16"/>
        </w:rPr>
        <w:t> </w:t>
      </w:r>
      <w:r>
        <w:rPr>
          <w:rFonts w:ascii="Arial" w:hAnsi="Arial" w:cs="Arial" w:eastAsia="Arial"/>
          <w:spacing w:val="-27"/>
          <w:sz w:val="16"/>
          <w:szCs w:val="16"/>
        </w:rPr>
      </w:r>
      <w:r>
        <w:rPr>
          <w:rFonts w:ascii="Arial" w:hAnsi="Arial" w:cs="Arial" w:eastAsia="Arial"/>
          <w:sz w:val="17"/>
          <w:szCs w:val="17"/>
        </w:rPr>
        <w:t>damaged (level 1) parties consist </w:t>
      </w:r>
      <w:r>
        <w:rPr>
          <w:rFonts w:ascii="Arial" w:hAnsi="Arial" w:cs="Arial" w:eastAsia="Arial"/>
          <w:spacing w:val="-5"/>
          <w:sz w:val="17"/>
          <w:szCs w:val="17"/>
        </w:rPr>
        <w:t>of </w:t>
      </w:r>
      <w:r>
        <w:rPr>
          <w:rFonts w:ascii="Arial" w:hAnsi="Arial" w:cs="Arial" w:eastAsia="Arial"/>
          <w:sz w:val="17"/>
          <w:szCs w:val="17"/>
        </w:rPr>
        <w:t>damaged logs by up </w:t>
      </w:r>
      <w:r>
        <w:rPr>
          <w:rFonts w:ascii="Arial" w:hAnsi="Arial" w:cs="Arial" w:eastAsia="Arial"/>
          <w:spacing w:val="2"/>
          <w:sz w:val="17"/>
          <w:szCs w:val="17"/>
        </w:rPr>
        <w:t>to </w:t>
      </w:r>
      <w:r>
        <w:rPr>
          <w:rFonts w:ascii="Arial" w:hAnsi="Arial" w:cs="Arial" w:eastAsia="Arial"/>
          <w:sz w:val="17"/>
          <w:szCs w:val="17"/>
        </w:rPr>
        <w:t>50%</w:t>
      </w:r>
      <w:r>
        <w:rPr>
          <w:rFonts w:ascii="Arial" w:hAnsi="Arial" w:cs="Arial" w:eastAsia="Arial"/>
          <w:spacing w:val="23"/>
          <w:sz w:val="17"/>
          <w:szCs w:val="17"/>
        </w:rPr>
        <w:t> </w:t>
      </w:r>
      <w:r>
        <w:rPr>
          <w:rFonts w:ascii="Arial" w:hAnsi="Arial" w:cs="Arial" w:eastAsia="Arial"/>
          <w:sz w:val="17"/>
          <w:szCs w:val="17"/>
        </w:rPr>
        <w:t>in</w:t>
      </w:r>
      <w:r>
        <w:rPr>
          <w:rFonts w:ascii="Arial" w:hAnsi="Arial" w:cs="Arial" w:eastAsia="Arial"/>
          <w:w w:val="98"/>
          <w:sz w:val="17"/>
          <w:szCs w:val="17"/>
        </w:rPr>
        <w:t> </w:t>
      </w:r>
      <w:r>
        <w:rPr>
          <w:rFonts w:ascii="Arial" w:hAnsi="Arial" w:cs="Arial" w:eastAsia="Arial"/>
          <w:sz w:val="16"/>
          <w:szCs w:val="16"/>
        </w:rPr>
        <w:t>number,</w:t>
      </w:r>
      <w:r>
        <w:rPr>
          <w:rFonts w:ascii="Arial" w:hAnsi="Arial" w:cs="Arial" w:eastAsia="Arial"/>
          <w:spacing w:val="41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and</w:t>
      </w:r>
      <w:r>
        <w:rPr>
          <w:rFonts w:ascii="Arial" w:hAnsi="Arial" w:cs="Arial" w:eastAsia="Arial"/>
          <w:spacing w:val="30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heavily</w:t>
      </w:r>
      <w:r>
        <w:rPr>
          <w:rFonts w:ascii="Arial" w:hAnsi="Arial" w:cs="Arial" w:eastAsia="Arial"/>
          <w:spacing w:val="30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damaged</w:t>
      </w:r>
      <w:r>
        <w:rPr>
          <w:rFonts w:ascii="Arial" w:hAnsi="Arial" w:cs="Arial" w:eastAsia="Arial"/>
          <w:spacing w:val="30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(level</w:t>
      </w:r>
      <w:r>
        <w:rPr>
          <w:rFonts w:ascii="Arial" w:hAnsi="Arial" w:cs="Arial" w:eastAsia="Arial"/>
          <w:spacing w:val="35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2)</w:t>
      </w:r>
      <w:r>
        <w:rPr>
          <w:rFonts w:ascii="Arial" w:hAnsi="Arial" w:cs="Arial" w:eastAsia="Arial"/>
          <w:spacing w:val="35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parties</w:t>
      </w:r>
      <w:r>
        <w:rPr>
          <w:rFonts w:ascii="Arial" w:hAnsi="Arial" w:cs="Arial" w:eastAsia="Arial"/>
          <w:spacing w:val="42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have</w:t>
      </w:r>
      <w:r>
        <w:rPr>
          <w:rFonts w:ascii="Arial" w:hAnsi="Arial" w:cs="Arial" w:eastAsia="Arial"/>
          <w:spacing w:val="30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damaged</w:t>
      </w:r>
      <w:r>
        <w:rPr>
          <w:rFonts w:ascii="Arial" w:hAnsi="Arial" w:cs="Arial" w:eastAsia="Arial"/>
          <w:spacing w:val="43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logs</w:t>
      </w:r>
      <w:r>
        <w:rPr>
          <w:rFonts w:ascii="Arial" w:hAnsi="Arial" w:cs="Arial" w:eastAsia="Arial"/>
          <w:spacing w:val="-27"/>
          <w:sz w:val="16"/>
          <w:szCs w:val="16"/>
        </w:rPr>
        <w:t> </w:t>
      </w:r>
      <w:r>
        <w:rPr>
          <w:rFonts w:ascii="Arial" w:hAnsi="Arial" w:cs="Arial" w:eastAsia="Arial"/>
          <w:spacing w:val="-27"/>
          <w:sz w:val="16"/>
          <w:szCs w:val="16"/>
        </w:rPr>
      </w:r>
      <w:r>
        <w:rPr>
          <w:rFonts w:ascii="Arial" w:hAnsi="Arial" w:cs="Arial" w:eastAsia="Arial"/>
          <w:sz w:val="16"/>
          <w:szCs w:val="16"/>
        </w:rPr>
        <w:t>by  more than  50% (Table</w:t>
      </w:r>
      <w:r>
        <w:rPr>
          <w:rFonts w:ascii="Arial" w:hAnsi="Arial" w:cs="Arial" w:eastAsia="Arial"/>
          <w:spacing w:val="18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1).</w:t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4"/>
        <w:rPr>
          <w:rFonts w:ascii="Arial" w:hAnsi="Arial" w:cs="Arial" w:eastAsia="Arial"/>
          <w:sz w:val="15"/>
          <w:szCs w:val="15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RESULTS</w:t>
      </w:r>
      <w:r>
        <w:rPr>
          <w:b w:val="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right="110"/>
        <w:jc w:val="both"/>
      </w:pPr>
      <w:r>
        <w:rPr/>
        <w:t>First </w:t>
      </w:r>
      <w:r>
        <w:rPr>
          <w:spacing w:val="-4"/>
        </w:rPr>
        <w:t>of </w:t>
      </w:r>
      <w:r>
        <w:rPr/>
        <w:t>all, results of correlation analysis serve to</w:t>
      </w:r>
      <w:r>
        <w:rPr>
          <w:spacing w:val="35"/>
        </w:rPr>
        <w:t> </w:t>
      </w:r>
      <w:r>
        <w:rPr/>
        <w:t>statis-</w:t>
      </w:r>
      <w:r>
        <w:rPr>
          <w:w w:val="100"/>
        </w:rPr>
        <w:t> </w:t>
      </w:r>
      <w:r>
        <w:rPr/>
        <w:t>tically justify the leaving out t</w:t>
      </w:r>
      <w:r>
        <w:rPr>
          <w:rFonts w:ascii="Arial" w:hAnsi="Arial" w:cs="Arial" w:eastAsia="Arial"/>
        </w:rPr>
        <w:t>he variable “type </w:t>
      </w:r>
      <w:r>
        <w:rPr>
          <w:rFonts w:ascii="Arial" w:hAnsi="Arial" w:cs="Arial" w:eastAsia="Arial"/>
          <w:spacing w:val="-4"/>
        </w:rPr>
        <w:t>of</w:t>
      </w:r>
      <w:r>
        <w:rPr>
          <w:rFonts w:ascii="Arial" w:hAnsi="Arial" w:cs="Arial" w:eastAsia="Arial"/>
          <w:spacing w:val="29"/>
        </w:rPr>
        <w:t> </w:t>
      </w:r>
      <w:r>
        <w:rPr>
          <w:rFonts w:ascii="Arial" w:hAnsi="Arial" w:cs="Arial" w:eastAsia="Arial"/>
        </w:rPr>
        <w:t>product”</w:t>
      </w:r>
      <w:r>
        <w:rPr>
          <w:rFonts w:ascii="Arial" w:hAnsi="Arial" w:cs="Arial" w:eastAsia="Arial"/>
          <w:w w:val="100"/>
        </w:rPr>
        <w:t> </w:t>
      </w:r>
      <w:r>
        <w:rPr>
          <w:rFonts w:ascii="Arial" w:hAnsi="Arial" w:cs="Arial" w:eastAsia="Arial"/>
        </w:rPr>
        <w:t>in view of its nearly perfect correlation with</w:t>
      </w:r>
      <w:r>
        <w:rPr>
          <w:rFonts w:ascii="Arial" w:hAnsi="Arial" w:cs="Arial" w:eastAsia="Arial"/>
          <w:spacing w:val="53"/>
        </w:rPr>
        <w:t> </w:t>
      </w:r>
      <w:r>
        <w:rPr>
          <w:rFonts w:ascii="Arial" w:hAnsi="Arial" w:cs="Arial" w:eastAsia="Arial"/>
        </w:rPr>
        <w:t>“appraised</w:t>
      </w:r>
      <w:r>
        <w:rPr>
          <w:rFonts w:ascii="Arial" w:hAnsi="Arial" w:cs="Arial" w:eastAsia="Arial"/>
          <w:w w:val="100"/>
        </w:rPr>
        <w:t> </w:t>
      </w:r>
      <w:r>
        <w:rPr>
          <w:rFonts w:ascii="Arial" w:hAnsi="Arial" w:cs="Arial" w:eastAsia="Arial"/>
        </w:rPr>
        <w:t>value” </w:t>
      </w:r>
      <w:r>
        <w:rPr/>
        <w:t>(Table</w:t>
      </w:r>
      <w:r>
        <w:rPr>
          <w:spacing w:val="5"/>
        </w:rPr>
        <w:t> </w:t>
      </w:r>
      <w:r>
        <w:rPr>
          <w:spacing w:val="-3"/>
        </w:rPr>
        <w:t>2).</w:t>
      </w:r>
    </w:p>
    <w:p>
      <w:pPr>
        <w:pStyle w:val="BodyText"/>
        <w:spacing w:line="209" w:lineRule="exact"/>
        <w:ind w:left="286" w:right="0"/>
        <w:jc w:val="left"/>
        <w:rPr>
          <w:rFonts w:ascii="Arial" w:hAnsi="Arial" w:cs="Arial" w:eastAsia="Arial"/>
        </w:rPr>
      </w:pPr>
      <w:r>
        <w:rPr/>
        <w:t>Secondly, Table 3 </w:t>
      </w:r>
      <w:r>
        <w:rPr>
          <w:spacing w:val="-3"/>
        </w:rPr>
        <w:t>shows </w:t>
      </w:r>
      <w:r>
        <w:rPr/>
        <w:t>the </w:t>
      </w:r>
      <w:r>
        <w:rPr>
          <w:rFonts w:ascii="Arial" w:hAnsi="Arial" w:cs="Arial" w:eastAsia="Arial"/>
          <w:i/>
        </w:rPr>
        <w:t>R</w:t>
      </w:r>
      <w:r>
        <w:rPr>
          <w:rFonts w:ascii="Arial" w:hAnsi="Arial" w:cs="Arial" w:eastAsia="Arial"/>
          <w:i/>
          <w:position w:val="10"/>
          <w:sz w:val="13"/>
          <w:szCs w:val="13"/>
        </w:rPr>
        <w:t>2</w:t>
      </w:r>
      <w:r>
        <w:rPr>
          <w:rFonts w:ascii="Arial" w:hAnsi="Arial" w:cs="Arial" w:eastAsia="Arial"/>
        </w:rPr>
        <w:t>’s as well  as  </w:t>
      </w:r>
      <w:r>
        <w:rPr>
          <w:rFonts w:ascii="Arial" w:hAnsi="Arial" w:cs="Arial" w:eastAsia="Arial"/>
          <w:spacing w:val="50"/>
        </w:rPr>
        <w:t> </w:t>
      </w:r>
      <w:r>
        <w:rPr>
          <w:rFonts w:ascii="Arial" w:hAnsi="Arial" w:cs="Arial" w:eastAsia="Arial"/>
        </w:rPr>
        <w:t>adjusted</w:t>
      </w:r>
    </w:p>
    <w:p>
      <w:pPr>
        <w:pStyle w:val="BodyText"/>
        <w:spacing w:line="223" w:lineRule="auto"/>
        <w:ind w:right="115"/>
        <w:jc w:val="both"/>
        <w:rPr>
          <w:rFonts w:ascii="Arial" w:hAnsi="Arial" w:cs="Arial" w:eastAsia="Arial"/>
        </w:rPr>
      </w:pPr>
      <w:r>
        <w:rPr>
          <w:rFonts w:ascii="Arial" w:hAnsi="Arial" w:cs="Arial" w:eastAsia="Arial"/>
          <w:i/>
        </w:rPr>
        <w:t>R</w:t>
      </w:r>
      <w:r>
        <w:rPr>
          <w:rFonts w:ascii="Arial" w:hAnsi="Arial" w:cs="Arial" w:eastAsia="Arial"/>
          <w:i/>
          <w:position w:val="10"/>
          <w:sz w:val="13"/>
          <w:szCs w:val="13"/>
        </w:rPr>
        <w:t>2</w:t>
      </w:r>
      <w:r>
        <w:rPr>
          <w:rFonts w:ascii="Arial" w:hAnsi="Arial" w:cs="Arial" w:eastAsia="Arial"/>
        </w:rPr>
        <w:t>’s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computed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for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auxiliary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regressions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among</w:t>
      </w:r>
      <w:r>
        <w:rPr>
          <w:rFonts w:ascii="Arial" w:hAnsi="Arial" w:cs="Arial" w:eastAsia="Arial"/>
          <w:spacing w:val="23"/>
        </w:rPr>
        <w:t> </w:t>
      </w:r>
      <w:r>
        <w:rPr>
          <w:rFonts w:ascii="Arial" w:hAnsi="Arial" w:cs="Arial" w:eastAsia="Arial"/>
          <w:spacing w:val="-2"/>
        </w:rPr>
        <w:t>the</w:t>
      </w:r>
      <w:r>
        <w:rPr>
          <w:rFonts w:ascii="Arial" w:hAnsi="Arial" w:cs="Arial" w:eastAsia="Arial"/>
          <w:w w:val="100"/>
        </w:rPr>
        <w:t> </w:t>
      </w:r>
      <w:r>
        <w:rPr/>
        <w:t>proposed explanatory variables (the first four in Table</w:t>
      </w:r>
      <w:r>
        <w:rPr>
          <w:spacing w:val="28"/>
        </w:rPr>
        <w:t> </w:t>
      </w:r>
      <w:r>
        <w:rPr/>
        <w:t>2).</w:t>
      </w:r>
      <w:r>
        <w:rPr>
          <w:w w:val="100"/>
        </w:rPr>
        <w:t> </w:t>
      </w:r>
      <w:r>
        <w:rPr/>
        <w:t>The  computed  </w:t>
      </w:r>
      <w:r>
        <w:rPr>
          <w:rFonts w:ascii="Arial" w:hAnsi="Arial" w:cs="Arial" w:eastAsia="Arial"/>
          <w:i/>
        </w:rPr>
        <w:t>R</w:t>
      </w:r>
      <w:r>
        <w:rPr>
          <w:rFonts w:ascii="Arial" w:hAnsi="Arial" w:cs="Arial" w:eastAsia="Arial"/>
          <w:i/>
          <w:position w:val="10"/>
          <w:sz w:val="13"/>
          <w:szCs w:val="13"/>
        </w:rPr>
        <w:t>2</w:t>
      </w:r>
      <w:r>
        <w:rPr>
          <w:rFonts w:ascii="Arial" w:hAnsi="Arial" w:cs="Arial" w:eastAsia="Arial"/>
        </w:rPr>
        <w:t>’s  of  the  auxiliary  regression    which</w:t>
      </w:r>
    </w:p>
    <w:p>
      <w:pPr>
        <w:pStyle w:val="BodyText"/>
        <w:spacing w:line="240" w:lineRule="auto" w:before="3"/>
        <w:ind w:right="0"/>
        <w:jc w:val="both"/>
      </w:pPr>
      <w:r>
        <w:rPr/>
        <w:t>serve to detect multicollineaity in the  timber  price</w:t>
      </w:r>
      <w:r>
        <w:rPr>
          <w:spacing w:val="36"/>
        </w:rPr>
        <w:t> </w:t>
      </w:r>
      <w:r>
        <w:rPr/>
        <w:t>model</w:t>
      </w:r>
    </w:p>
    <w:p>
      <w:pPr>
        <w:spacing w:after="0" w:line="240" w:lineRule="auto"/>
        <w:jc w:val="both"/>
        <w:sectPr>
          <w:type w:val="continuous"/>
          <w:pgSz w:w="12240" w:h="15840"/>
          <w:pgMar w:top="520" w:bottom="280" w:left="760" w:right="600"/>
          <w:cols w:num="2" w:equalWidth="0">
            <w:col w:w="5222" w:space="324"/>
            <w:col w:w="5334"/>
          </w:cols>
        </w:sectPr>
      </w:pPr>
    </w:p>
    <w:p>
      <w:pPr>
        <w:pStyle w:val="BodyText"/>
        <w:tabs>
          <w:tab w:pos="1055" w:val="left" w:leader="none"/>
        </w:tabs>
        <w:spacing w:line="240" w:lineRule="auto" w:before="59"/>
        <w:ind w:left="105" w:right="0"/>
        <w:jc w:val="left"/>
      </w:pPr>
      <w:r>
        <w:rPr>
          <w:spacing w:val="-2"/>
        </w:rPr>
        <w:t>8554</w:t>
        <w:tab/>
      </w:r>
      <w:r>
        <w:rPr>
          <w:spacing w:val="-1"/>
        </w:rPr>
        <w:t>Afr.</w:t>
      </w:r>
      <w:r>
        <w:rPr/>
        <w:t> J. </w:t>
      </w:r>
      <w:r>
        <w:rPr>
          <w:spacing w:val="-2"/>
        </w:rPr>
        <w:t>Bus.</w:t>
      </w:r>
      <w:r>
        <w:rPr>
          <w:spacing w:val="17"/>
        </w:rPr>
        <w:t> </w:t>
      </w:r>
      <w:r>
        <w:rPr>
          <w:spacing w:val="-2"/>
        </w:rPr>
        <w:t>Manage.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1368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b/>
          <w:bCs/>
          <w:w w:val="105"/>
          <w:sz w:val="16"/>
          <w:szCs w:val="16"/>
        </w:rPr>
        <w:t>Table 2. </w:t>
      </w:r>
      <w:r>
        <w:rPr>
          <w:rFonts w:ascii="Arial" w:hAnsi="Arial" w:cs="Arial" w:eastAsia="Arial"/>
          <w:w w:val="105"/>
          <w:sz w:val="16"/>
          <w:szCs w:val="16"/>
        </w:rPr>
        <w:t>Pair-</w:t>
      </w:r>
      <w:r>
        <w:rPr>
          <w:rFonts w:ascii="Arial" w:hAnsi="Arial" w:cs="Arial" w:eastAsia="Arial"/>
          <w:w w:val="105"/>
          <w:sz w:val="16"/>
          <w:szCs w:val="16"/>
        </w:rPr>
        <w:t>wise correlation of “potential” explanatory variables for timber sales price</w:t>
      </w:r>
      <w:r>
        <w:rPr>
          <w:rFonts w:ascii="Arial" w:hAnsi="Arial" w:cs="Arial" w:eastAsia="Arial"/>
          <w:spacing w:val="30"/>
          <w:w w:val="105"/>
          <w:sz w:val="16"/>
          <w:szCs w:val="16"/>
        </w:rPr>
        <w:t> </w:t>
      </w:r>
      <w:r>
        <w:rPr>
          <w:rFonts w:ascii="Arial" w:hAnsi="Arial" w:cs="Arial" w:eastAsia="Arial"/>
          <w:w w:val="105"/>
          <w:sz w:val="16"/>
          <w:szCs w:val="16"/>
        </w:rPr>
        <w:t>model.</w:t>
      </w:r>
      <w:r>
        <w:rPr>
          <w:rFonts w:ascii="Arial" w:hAnsi="Arial" w:cs="Arial" w:eastAsia="Arial"/>
          <w:sz w:val="16"/>
          <w:szCs w:val="16"/>
        </w:rPr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tbl>
      <w:tblPr>
        <w:tblW w:w="0" w:type="auto"/>
        <w:jc w:val="left"/>
        <w:tblInd w:w="136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8"/>
        <w:gridCol w:w="1946"/>
        <w:gridCol w:w="2088"/>
        <w:gridCol w:w="1970"/>
        <w:gridCol w:w="1790"/>
        <w:gridCol w:w="1726"/>
        <w:gridCol w:w="1611"/>
      </w:tblGrid>
      <w:tr>
        <w:trPr>
          <w:trHeight w:val="264" w:hRule="exact"/>
        </w:trPr>
        <w:tc>
          <w:tcPr>
            <w:tcW w:w="968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088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5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Number </w:t>
            </w:r>
            <w:r>
              <w:rPr>
                <w:rFonts w:ascii="Arial"/>
                <w:b/>
                <w:spacing w:val="-3"/>
                <w:sz w:val="18"/>
              </w:rPr>
              <w:t>of</w:t>
            </w:r>
            <w:r>
              <w:rPr>
                <w:rFonts w:ascii="Arial"/>
                <w:b/>
                <w:spacing w:val="21"/>
                <w:sz w:val="18"/>
              </w:rPr>
              <w:t> </w:t>
            </w:r>
            <w:r>
              <w:rPr>
                <w:rFonts w:ascii="Arial"/>
                <w:b/>
                <w:spacing w:val="-3"/>
                <w:sz w:val="18"/>
              </w:rPr>
              <w:t>bidders</w:t>
            </w:r>
            <w:r>
              <w:rPr>
                <w:rFonts w:ascii="Arial"/>
                <w:spacing w:val="-3"/>
                <w:sz w:val="18"/>
              </w:rPr>
            </w:r>
          </w:p>
        </w:tc>
        <w:tc>
          <w:tcPr>
            <w:tcW w:w="1970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3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Year after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harvest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790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1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Appraised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value</w:t>
            </w:r>
            <w:r>
              <w:rPr>
                <w:rFonts w:ascii="Arial"/>
                <w:sz w:val="18"/>
              </w:rPr>
            </w:r>
          </w:p>
        </w:tc>
        <w:tc>
          <w:tcPr>
            <w:tcW w:w="1726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7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Level of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damage</w:t>
            </w:r>
            <w:r>
              <w:rPr>
                <w:rFonts w:ascii="Arial"/>
                <w:sz w:val="18"/>
              </w:rPr>
            </w:r>
          </w:p>
        </w:tc>
        <w:tc>
          <w:tcPr>
            <w:tcW w:w="161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3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pacing w:val="-3"/>
                <w:sz w:val="18"/>
              </w:rPr>
              <w:t>Type </w:t>
            </w:r>
            <w:r>
              <w:rPr>
                <w:rFonts w:ascii="Arial"/>
                <w:b/>
                <w:sz w:val="18"/>
              </w:rPr>
              <w:t>of</w:t>
            </w:r>
            <w:r>
              <w:rPr>
                <w:rFonts w:ascii="Arial"/>
                <w:b/>
                <w:spacing w:val="26"/>
                <w:sz w:val="18"/>
              </w:rPr>
              <w:t> </w:t>
            </w:r>
            <w:r>
              <w:rPr>
                <w:rFonts w:ascii="Arial"/>
                <w:b/>
                <w:spacing w:val="-3"/>
                <w:sz w:val="18"/>
              </w:rPr>
              <w:t>product</w:t>
            </w:r>
            <w:r>
              <w:rPr>
                <w:rFonts w:ascii="Arial"/>
                <w:spacing w:val="-3"/>
                <w:sz w:val="18"/>
              </w:rPr>
            </w:r>
          </w:p>
        </w:tc>
      </w:tr>
      <w:tr>
        <w:trPr>
          <w:trHeight w:val="275" w:hRule="exact"/>
        </w:trPr>
        <w:tc>
          <w:tcPr>
            <w:tcW w:w="968" w:type="dxa"/>
            <w:vMerge w:val="restart"/>
            <w:tcBorders>
              <w:top w:val="single" w:sz="6" w:space="0" w:color="000000"/>
              <w:left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83" w:lineRule="auto" w:before="32"/>
              <w:ind w:right="124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Number</w:t>
            </w:r>
            <w:r>
              <w:rPr>
                <w:rFonts w:ascii="Arial"/>
                <w:spacing w:val="4"/>
                <w:sz w:val="18"/>
              </w:rPr>
              <w:t> </w:t>
            </w:r>
            <w:r>
              <w:rPr>
                <w:rFonts w:ascii="Arial"/>
                <w:spacing w:val="-3"/>
                <w:sz w:val="18"/>
              </w:rPr>
              <w:t>of</w:t>
            </w:r>
            <w:r>
              <w:rPr>
                <w:rFonts w:ascii="Arial"/>
                <w:w w:val="101"/>
                <w:sz w:val="18"/>
              </w:rPr>
              <w:t> </w:t>
            </w:r>
            <w:r>
              <w:rPr>
                <w:rFonts w:ascii="Arial"/>
                <w:sz w:val="18"/>
              </w:rPr>
              <w:t>Bidders</w:t>
            </w:r>
          </w:p>
        </w:tc>
        <w:tc>
          <w:tcPr>
            <w:tcW w:w="194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Pearson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correlation</w:t>
            </w:r>
          </w:p>
        </w:tc>
        <w:tc>
          <w:tcPr>
            <w:tcW w:w="208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1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1</w:t>
            </w:r>
            <w:r>
              <w:rPr>
                <w:rFonts w:ascii="Arial"/>
                <w:sz w:val="18"/>
              </w:rPr>
            </w:r>
          </w:p>
        </w:tc>
        <w:tc>
          <w:tcPr>
            <w:tcW w:w="197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-0.019</w:t>
            </w:r>
          </w:p>
        </w:tc>
        <w:tc>
          <w:tcPr>
            <w:tcW w:w="179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58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0.366***</w:t>
            </w:r>
          </w:p>
        </w:tc>
        <w:tc>
          <w:tcPr>
            <w:tcW w:w="172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52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-0.618***</w:t>
            </w:r>
          </w:p>
        </w:tc>
        <w:tc>
          <w:tcPr>
            <w:tcW w:w="161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47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0.380***</w:t>
            </w:r>
          </w:p>
        </w:tc>
      </w:tr>
      <w:tr>
        <w:trPr>
          <w:trHeight w:val="247" w:hRule="exact"/>
        </w:trPr>
        <w:tc>
          <w:tcPr>
            <w:tcW w:w="968" w:type="dxa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Sig.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(2-tailed)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0.843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8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4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</w:tr>
      <w:tr>
        <w:trPr>
          <w:trHeight w:val="372" w:hRule="exact"/>
        </w:trPr>
        <w:tc>
          <w:tcPr>
            <w:tcW w:w="9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N</w:t>
            </w:r>
            <w:r>
              <w:rPr>
                <w:rFonts w:ascii="Arial"/>
                <w:sz w:val="18"/>
              </w:rPr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7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</w:tr>
      <w:tr>
        <w:trPr>
          <w:trHeight w:val="370" w:hRule="exact"/>
        </w:trPr>
        <w:tc>
          <w:tcPr>
            <w:tcW w:w="968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83" w:lineRule="auto" w:before="135"/>
              <w:ind w:right="175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3"/>
                <w:sz w:val="18"/>
              </w:rPr>
              <w:t>Year</w:t>
            </w:r>
            <w:r>
              <w:rPr>
                <w:rFonts w:ascii="Arial"/>
                <w:spacing w:val="7"/>
                <w:sz w:val="18"/>
              </w:rPr>
              <w:t> </w:t>
            </w:r>
            <w:r>
              <w:rPr>
                <w:rFonts w:ascii="Arial"/>
                <w:sz w:val="18"/>
              </w:rPr>
              <w:t>after</w:t>
            </w:r>
            <w:r>
              <w:rPr>
                <w:rFonts w:ascii="Arial"/>
                <w:w w:val="101"/>
                <w:sz w:val="18"/>
              </w:rPr>
              <w:t> </w:t>
            </w:r>
            <w:r>
              <w:rPr>
                <w:rFonts w:ascii="Arial"/>
                <w:sz w:val="18"/>
              </w:rPr>
              <w:t>Harvest</w:t>
            </w:r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5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Pearson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correlation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5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-0.019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5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1</w:t>
            </w:r>
            <w:r>
              <w:rPr>
                <w:rFonts w:ascii="Arial"/>
                <w:sz w:val="18"/>
              </w:rPr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5"/>
              <w:ind w:left="55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-0.346***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5"/>
              <w:ind w:left="58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0.242**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5"/>
              <w:ind w:left="44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-0.266***</w:t>
            </w:r>
          </w:p>
        </w:tc>
      </w:tr>
      <w:tr>
        <w:trPr>
          <w:trHeight w:val="247" w:hRule="exact"/>
        </w:trPr>
        <w:tc>
          <w:tcPr>
            <w:tcW w:w="968" w:type="dxa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Sig.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(2-tailed)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0.843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8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4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0.011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0.005</w:t>
            </w:r>
          </w:p>
        </w:tc>
      </w:tr>
      <w:tr>
        <w:trPr>
          <w:trHeight w:val="350" w:hRule="exact"/>
        </w:trPr>
        <w:tc>
          <w:tcPr>
            <w:tcW w:w="9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N</w:t>
            </w:r>
            <w:r>
              <w:rPr>
                <w:rFonts w:ascii="Arial"/>
                <w:sz w:val="18"/>
              </w:rPr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7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</w:tr>
      <w:tr>
        <w:trPr>
          <w:trHeight w:val="390" w:hRule="exact"/>
        </w:trPr>
        <w:tc>
          <w:tcPr>
            <w:tcW w:w="968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90" w:lineRule="auto" w:before="153"/>
              <w:ind w:right="154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2"/>
                <w:sz w:val="18"/>
              </w:rPr>
              <w:t>Appraised</w:t>
            </w:r>
            <w:r>
              <w:rPr>
                <w:rFonts w:ascii="Arial"/>
                <w:spacing w:val="-34"/>
                <w:sz w:val="18"/>
              </w:rPr>
              <w:t> </w:t>
            </w:r>
            <w:r>
              <w:rPr>
                <w:rFonts w:ascii="Arial"/>
                <w:spacing w:val="-34"/>
                <w:sz w:val="18"/>
              </w:rPr>
            </w:r>
            <w:r>
              <w:rPr>
                <w:rFonts w:ascii="Arial"/>
                <w:sz w:val="18"/>
              </w:rPr>
              <w:t>Value</w:t>
            </w:r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3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Pearson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correlation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2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8"/>
              </w:rPr>
              <w:t>0.366</w:t>
            </w:r>
            <w:r>
              <w:rPr>
                <w:rFonts w:ascii="Arial"/>
                <w:position w:val="9"/>
                <w:sz w:val="12"/>
              </w:rPr>
              <w:t>***</w:t>
            </w:r>
            <w:r>
              <w:rPr>
                <w:rFonts w:ascii="Arial"/>
                <w:sz w:val="12"/>
              </w:rPr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66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8"/>
              </w:rPr>
              <w:t>-0.346</w:t>
            </w:r>
            <w:r>
              <w:rPr>
                <w:rFonts w:ascii="Arial"/>
                <w:position w:val="9"/>
                <w:sz w:val="12"/>
              </w:rPr>
              <w:t>***</w:t>
            </w:r>
            <w:r>
              <w:rPr>
                <w:rFonts w:ascii="Arial"/>
                <w:sz w:val="12"/>
              </w:rPr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3"/>
              <w:ind w:left="38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1</w:t>
            </w:r>
            <w:r>
              <w:rPr>
                <w:rFonts w:ascii="Arial"/>
                <w:sz w:val="18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3"/>
              <w:ind w:left="52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-0.590***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3"/>
              <w:ind w:left="47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0.958***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47" w:hRule="exact"/>
        </w:trPr>
        <w:tc>
          <w:tcPr>
            <w:tcW w:w="968" w:type="dxa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Sig.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(2-tailed)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4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</w:tr>
      <w:tr>
        <w:trPr>
          <w:trHeight w:val="349" w:hRule="exact"/>
        </w:trPr>
        <w:tc>
          <w:tcPr>
            <w:tcW w:w="9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N</w:t>
            </w:r>
            <w:r>
              <w:rPr>
                <w:rFonts w:ascii="Arial"/>
                <w:sz w:val="18"/>
              </w:rPr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7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</w:tr>
      <w:tr>
        <w:trPr>
          <w:trHeight w:val="393" w:hRule="exact"/>
        </w:trPr>
        <w:tc>
          <w:tcPr>
            <w:tcW w:w="968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90" w:lineRule="auto" w:before="155"/>
              <w:ind w:right="279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3"/>
                <w:sz w:val="18"/>
              </w:rPr>
              <w:t>Level</w:t>
            </w:r>
            <w:r>
              <w:rPr>
                <w:rFonts w:ascii="Arial"/>
                <w:spacing w:val="9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46"/>
                <w:sz w:val="18"/>
              </w:rPr>
              <w:t> </w:t>
            </w:r>
            <w:r>
              <w:rPr>
                <w:rFonts w:ascii="Arial"/>
                <w:spacing w:val="-46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Damage</w:t>
            </w:r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5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Pearson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correlation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2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8"/>
              </w:rPr>
              <w:t>-0.618</w:t>
            </w:r>
            <w:r>
              <w:rPr>
                <w:rFonts w:ascii="Arial"/>
                <w:position w:val="9"/>
                <w:sz w:val="12"/>
              </w:rPr>
              <w:t>***</w:t>
            </w:r>
            <w:r>
              <w:rPr>
                <w:rFonts w:ascii="Arial"/>
                <w:sz w:val="12"/>
              </w:rPr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14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8"/>
              </w:rPr>
              <w:t>0.242</w:t>
            </w:r>
            <w:r>
              <w:rPr>
                <w:rFonts w:ascii="Arial"/>
                <w:position w:val="9"/>
                <w:sz w:val="12"/>
              </w:rPr>
              <w:t>**</w:t>
            </w:r>
            <w:r>
              <w:rPr>
                <w:rFonts w:ascii="Arial"/>
                <w:sz w:val="12"/>
              </w:rPr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5"/>
              <w:ind w:left="55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-0.590***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5"/>
              <w:ind w:left="3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1</w:t>
            </w:r>
            <w:r>
              <w:rPr>
                <w:rFonts w:ascii="Arial"/>
                <w:sz w:val="18"/>
              </w:rPr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5"/>
              <w:ind w:left="44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-0.607***</w:t>
            </w:r>
          </w:p>
        </w:tc>
      </w:tr>
      <w:tr>
        <w:trPr>
          <w:trHeight w:val="247" w:hRule="exact"/>
        </w:trPr>
        <w:tc>
          <w:tcPr>
            <w:tcW w:w="968" w:type="dxa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Sig.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(2-tailed)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0.011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8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</w:tr>
      <w:tr>
        <w:trPr>
          <w:trHeight w:val="349" w:hRule="exact"/>
        </w:trPr>
        <w:tc>
          <w:tcPr>
            <w:tcW w:w="9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N</w:t>
            </w:r>
            <w:r>
              <w:rPr>
                <w:rFonts w:ascii="Arial"/>
                <w:sz w:val="18"/>
              </w:rPr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7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</w:tr>
      <w:tr>
        <w:trPr>
          <w:trHeight w:val="392" w:hRule="exact"/>
        </w:trPr>
        <w:tc>
          <w:tcPr>
            <w:tcW w:w="968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90" w:lineRule="auto" w:before="155"/>
              <w:ind w:right="344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Type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w w:val="10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Product</w:t>
            </w:r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5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Pearson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correlation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2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8"/>
              </w:rPr>
              <w:t>0.380</w:t>
            </w:r>
            <w:r>
              <w:rPr>
                <w:rFonts w:ascii="Arial"/>
                <w:position w:val="9"/>
                <w:sz w:val="12"/>
              </w:rPr>
              <w:t>***</w:t>
            </w:r>
            <w:r>
              <w:rPr>
                <w:rFonts w:ascii="Arial"/>
                <w:sz w:val="12"/>
              </w:rPr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66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8"/>
              </w:rPr>
              <w:t>-0.266</w:t>
            </w:r>
            <w:r>
              <w:rPr>
                <w:rFonts w:ascii="Arial"/>
                <w:position w:val="9"/>
                <w:sz w:val="12"/>
              </w:rPr>
              <w:t>***</w:t>
            </w:r>
            <w:r>
              <w:rPr>
                <w:rFonts w:ascii="Arial"/>
                <w:sz w:val="12"/>
              </w:rPr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5"/>
              <w:ind w:left="58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0.958***</w:t>
            </w:r>
            <w:r>
              <w:rPr>
                <w:rFonts w:ascii="Arial"/>
                <w:sz w:val="18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5"/>
              <w:ind w:left="52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-0.607***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5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1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47" w:hRule="exact"/>
        </w:trPr>
        <w:tc>
          <w:tcPr>
            <w:tcW w:w="968" w:type="dxa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Sig.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(2-tailed)</w:t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0.005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8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4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0.000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35" w:hRule="exact"/>
        </w:trPr>
        <w:tc>
          <w:tcPr>
            <w:tcW w:w="968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946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101"/>
                <w:sz w:val="18"/>
              </w:rPr>
              <w:t>N</w:t>
            </w:r>
            <w:r>
              <w:rPr>
                <w:rFonts w:ascii="Arial"/>
                <w:sz w:val="18"/>
              </w:rPr>
            </w:r>
          </w:p>
        </w:tc>
        <w:tc>
          <w:tcPr>
            <w:tcW w:w="2088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20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97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9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7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6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111</w:t>
            </w:r>
          </w:p>
        </w:tc>
      </w:tr>
    </w:tbl>
    <w:p>
      <w:pPr>
        <w:spacing w:before="90"/>
        <w:ind w:left="1277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**,</w:t>
      </w:r>
      <w:r>
        <w:rPr>
          <w:rFonts w:ascii="Arial"/>
          <w:spacing w:val="-7"/>
          <w:sz w:val="16"/>
        </w:rPr>
        <w:t> </w:t>
      </w:r>
      <w:r>
        <w:rPr>
          <w:rFonts w:ascii="Arial"/>
          <w:sz w:val="16"/>
        </w:rPr>
        <w:t>***</w:t>
      </w:r>
      <w:r>
        <w:rPr>
          <w:rFonts w:ascii="Arial"/>
          <w:spacing w:val="-5"/>
          <w:sz w:val="16"/>
        </w:rPr>
        <w:t> </w:t>
      </w:r>
      <w:r>
        <w:rPr>
          <w:rFonts w:ascii="Arial"/>
          <w:sz w:val="16"/>
        </w:rPr>
        <w:t>=</w:t>
      </w:r>
      <w:r>
        <w:rPr>
          <w:rFonts w:ascii="Arial"/>
          <w:spacing w:val="-7"/>
          <w:sz w:val="16"/>
        </w:rPr>
        <w:t> </w:t>
      </w:r>
      <w:r>
        <w:rPr>
          <w:rFonts w:ascii="Arial"/>
          <w:sz w:val="16"/>
        </w:rPr>
        <w:t>Correlation</w:t>
      </w:r>
      <w:r>
        <w:rPr>
          <w:rFonts w:ascii="Arial"/>
          <w:spacing w:val="-3"/>
          <w:sz w:val="16"/>
        </w:rPr>
        <w:t> </w:t>
      </w:r>
      <w:r>
        <w:rPr>
          <w:rFonts w:ascii="Arial"/>
          <w:sz w:val="16"/>
        </w:rPr>
        <w:t>is</w:t>
      </w:r>
      <w:r>
        <w:rPr>
          <w:rFonts w:ascii="Arial"/>
          <w:spacing w:val="-3"/>
          <w:sz w:val="16"/>
        </w:rPr>
        <w:t> </w:t>
      </w:r>
      <w:r>
        <w:rPr>
          <w:rFonts w:ascii="Arial"/>
          <w:sz w:val="16"/>
        </w:rPr>
        <w:t>significant</w:t>
      </w:r>
      <w:r>
        <w:rPr>
          <w:rFonts w:ascii="Arial"/>
          <w:spacing w:val="-2"/>
          <w:sz w:val="16"/>
        </w:rPr>
        <w:t> </w:t>
      </w:r>
      <w:r>
        <w:rPr>
          <w:rFonts w:ascii="Arial"/>
          <w:sz w:val="16"/>
        </w:rPr>
        <w:t>at</w:t>
      </w:r>
      <w:r>
        <w:rPr>
          <w:rFonts w:ascii="Arial"/>
          <w:spacing w:val="-2"/>
          <w:sz w:val="16"/>
        </w:rPr>
        <w:t> </w:t>
      </w:r>
      <w:r>
        <w:rPr>
          <w:rFonts w:ascii="Arial"/>
          <w:sz w:val="16"/>
        </w:rPr>
        <w:t>5</w:t>
      </w:r>
      <w:r>
        <w:rPr>
          <w:rFonts w:ascii="Arial"/>
          <w:spacing w:val="-3"/>
          <w:sz w:val="16"/>
        </w:rPr>
        <w:t> </w:t>
      </w:r>
      <w:r>
        <w:rPr>
          <w:rFonts w:ascii="Arial"/>
          <w:sz w:val="16"/>
        </w:rPr>
        <w:t>and</w:t>
      </w:r>
      <w:r>
        <w:rPr>
          <w:rFonts w:ascii="Arial"/>
          <w:spacing w:val="-3"/>
          <w:sz w:val="16"/>
        </w:rPr>
        <w:t> </w:t>
      </w:r>
      <w:r>
        <w:rPr>
          <w:rFonts w:ascii="Arial"/>
          <w:sz w:val="16"/>
        </w:rPr>
        <w:t>1%</w:t>
      </w:r>
      <w:r>
        <w:rPr>
          <w:rFonts w:ascii="Arial"/>
          <w:spacing w:val="-3"/>
          <w:sz w:val="16"/>
        </w:rPr>
        <w:t> </w:t>
      </w:r>
      <w:r>
        <w:rPr>
          <w:rFonts w:ascii="Arial"/>
          <w:sz w:val="16"/>
        </w:rPr>
        <w:t>levels</w:t>
      </w:r>
      <w:r>
        <w:rPr>
          <w:rFonts w:ascii="Arial"/>
          <w:spacing w:val="-3"/>
          <w:sz w:val="16"/>
        </w:rPr>
        <w:t> </w:t>
      </w:r>
      <w:r>
        <w:rPr>
          <w:rFonts w:ascii="Arial"/>
          <w:sz w:val="16"/>
        </w:rPr>
        <w:t>respectively.</w:t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before="137"/>
        <w:ind w:left="1099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/>
        <w:pict>
          <v:group style="position:absolute;margin-left:198.410004pt;margin-top:39.583912pt;width:523.4pt;height:.75pt;mso-position-horizontal-relative:page;mso-position-vertical-relative:paragraph;z-index:-29992" coordorigin="3968,792" coordsize="10468,15">
            <v:group style="position:absolute;left:3975;top:799;width:2613;height:2" coordorigin="3975,799" coordsize="2613,2">
              <v:shape style="position:absolute;left:3975;top:799;width:2613;height:2" coordorigin="3975,799" coordsize="2613,0" path="m3975,799l6588,799e" filled="false" stroked="true" strokeweight=".72pt" strokecolor="#000000">
                <v:path arrowok="t"/>
              </v:shape>
            </v:group>
            <v:group style="position:absolute;left:6588;top:799;width:15;height:2" coordorigin="6588,799" coordsize="15,2">
              <v:shape style="position:absolute;left:6588;top:799;width:15;height:2" coordorigin="6588,799" coordsize="15,0" path="m6588,799l6602,799e" filled="false" stroked="true" strokeweight=".72pt" strokecolor="#000000">
                <v:path arrowok="t"/>
              </v:shape>
            </v:group>
            <v:group style="position:absolute;left:6602;top:799;width:2598;height:2" coordorigin="6602,799" coordsize="2598,2">
              <v:shape style="position:absolute;left:6602;top:799;width:2598;height:2" coordorigin="6602,799" coordsize="2598,0" path="m6602,799l9199,799e" filled="false" stroked="true" strokeweight=".72pt" strokecolor="#000000">
                <v:path arrowok="t"/>
              </v:shape>
            </v:group>
            <v:group style="position:absolute;left:9199;top:799;width:15;height:2" coordorigin="9199,799" coordsize="15,2">
              <v:shape style="position:absolute;left:9199;top:799;width:15;height:2" coordorigin="9199,799" coordsize="15,0" path="m9199,799l9214,799e" filled="false" stroked="true" strokeweight=".72pt" strokecolor="#000000">
                <v:path arrowok="t"/>
              </v:shape>
            </v:group>
            <v:group style="position:absolute;left:9214;top:799;width:2602;height:2" coordorigin="9214,799" coordsize="2602,2">
              <v:shape style="position:absolute;left:9214;top:799;width:2602;height:2" coordorigin="9214,799" coordsize="2602,0" path="m9214,799l11816,799e" filled="false" stroked="true" strokeweight=".72pt" strokecolor="#000000">
                <v:path arrowok="t"/>
              </v:shape>
            </v:group>
            <v:group style="position:absolute;left:11816;top:799;width:15;height:2" coordorigin="11816,799" coordsize="15,2">
              <v:shape style="position:absolute;left:11816;top:799;width:15;height:2" coordorigin="11816,799" coordsize="15,0" path="m11816,799l11831,799e" filled="false" stroked="true" strokeweight=".72pt" strokecolor="#000000">
                <v:path arrowok="t"/>
              </v:shape>
            </v:group>
            <v:group style="position:absolute;left:11831;top:799;width:2598;height:2" coordorigin="11831,799" coordsize="2598,2">
              <v:shape style="position:absolute;left:11831;top:799;width:2598;height:2" coordorigin="11831,799" coordsize="2598,0" path="m11831,799l14428,799e" filled="false" stroked="true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b/>
          <w:w w:val="105"/>
          <w:sz w:val="16"/>
        </w:rPr>
        <w:t>Table 3. </w:t>
      </w:r>
      <w:r>
        <w:rPr>
          <w:rFonts w:ascii="Arial"/>
          <w:w w:val="105"/>
          <w:sz w:val="16"/>
        </w:rPr>
        <w:t>Summary information the auxiliary regressions among four explanatory variables for timber </w:t>
      </w:r>
      <w:r>
        <w:rPr>
          <w:rFonts w:ascii="Arial"/>
          <w:spacing w:val="2"/>
          <w:w w:val="105"/>
          <w:sz w:val="16"/>
        </w:rPr>
        <w:t>sales </w:t>
      </w:r>
      <w:r>
        <w:rPr>
          <w:rFonts w:ascii="Arial"/>
          <w:w w:val="105"/>
          <w:sz w:val="16"/>
        </w:rPr>
        <w:t>price</w:t>
      </w:r>
      <w:r>
        <w:rPr>
          <w:rFonts w:ascii="Arial"/>
          <w:spacing w:val="34"/>
          <w:w w:val="105"/>
          <w:sz w:val="16"/>
        </w:rPr>
        <w:t> </w:t>
      </w:r>
      <w:r>
        <w:rPr>
          <w:rFonts w:ascii="Arial"/>
          <w:w w:val="105"/>
          <w:sz w:val="16"/>
        </w:rPr>
        <w:t>model.</w:t>
      </w:r>
      <w:r>
        <w:rPr>
          <w:rFonts w:ascii="Arial"/>
          <w:sz w:val="16"/>
        </w:rPr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tbl>
      <w:tblPr>
        <w:tblW w:w="0" w:type="auto"/>
        <w:jc w:val="left"/>
        <w:tblInd w:w="112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30"/>
        <w:gridCol w:w="2708"/>
        <w:gridCol w:w="2615"/>
        <w:gridCol w:w="2613"/>
        <w:gridCol w:w="2614"/>
      </w:tblGrid>
      <w:tr>
        <w:trPr>
          <w:trHeight w:val="219" w:hRule="exact"/>
        </w:trPr>
        <w:tc>
          <w:tcPr>
            <w:tcW w:w="203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70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 w:before="32"/>
              <w:ind w:left="2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Auxilliary regression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</w:t>
            </w:r>
            <w:r>
              <w:rPr>
                <w:rFonts w:ascii="Arial"/>
                <w:sz w:val="18"/>
              </w:rPr>
            </w:r>
          </w:p>
        </w:tc>
        <w:tc>
          <w:tcPr>
            <w:tcW w:w="261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 w:before="32"/>
              <w:ind w:left="1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Auxilliary regression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</w:t>
            </w:r>
            <w:r>
              <w:rPr>
                <w:rFonts w:ascii="Arial"/>
                <w:sz w:val="18"/>
              </w:rPr>
            </w:r>
          </w:p>
        </w:tc>
        <w:tc>
          <w:tcPr>
            <w:tcW w:w="2613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 w:before="32"/>
              <w:ind w:left="10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Auxilliary regression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3</w:t>
            </w:r>
            <w:r>
              <w:rPr>
                <w:rFonts w:ascii="Arial"/>
                <w:sz w:val="18"/>
              </w:rPr>
            </w:r>
          </w:p>
        </w:tc>
        <w:tc>
          <w:tcPr>
            <w:tcW w:w="2614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 w:before="32"/>
              <w:ind w:left="10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Auxilliary regression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4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304" w:hRule="exact"/>
        </w:trPr>
        <w:tc>
          <w:tcPr>
            <w:tcW w:w="203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62" w:lineRule="exact"/>
              <w:ind w:left="10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Dependent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variable</w:t>
            </w:r>
            <w:r>
              <w:rPr>
                <w:rFonts w:ascii="Arial"/>
                <w:sz w:val="18"/>
              </w:rPr>
            </w:r>
          </w:p>
        </w:tc>
        <w:tc>
          <w:tcPr>
            <w:tcW w:w="2708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left="2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Number </w:t>
            </w:r>
            <w:r>
              <w:rPr>
                <w:rFonts w:ascii="Arial"/>
                <w:b/>
                <w:spacing w:val="-3"/>
                <w:sz w:val="18"/>
              </w:rPr>
              <w:t>of</w:t>
            </w:r>
            <w:r>
              <w:rPr>
                <w:rFonts w:ascii="Arial"/>
                <w:b/>
                <w:spacing w:val="21"/>
                <w:sz w:val="18"/>
              </w:rPr>
              <w:t> </w:t>
            </w:r>
            <w:r>
              <w:rPr>
                <w:rFonts w:ascii="Arial"/>
                <w:b/>
                <w:spacing w:val="-3"/>
                <w:sz w:val="18"/>
              </w:rPr>
              <w:t>bidders</w:t>
            </w:r>
            <w:r>
              <w:rPr>
                <w:rFonts w:ascii="Arial"/>
                <w:spacing w:val="-3"/>
                <w:sz w:val="18"/>
              </w:rPr>
            </w:r>
          </w:p>
        </w:tc>
        <w:tc>
          <w:tcPr>
            <w:tcW w:w="2615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left="1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Year after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harvest</w:t>
            </w:r>
            <w:r>
              <w:rPr>
                <w:rFonts w:ascii="Arial"/>
                <w:sz w:val="18"/>
              </w:rPr>
            </w:r>
          </w:p>
        </w:tc>
        <w:tc>
          <w:tcPr>
            <w:tcW w:w="2613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left="10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Appraised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value</w:t>
            </w:r>
            <w:r>
              <w:rPr>
                <w:rFonts w:ascii="Arial"/>
                <w:sz w:val="18"/>
              </w:rPr>
            </w:r>
          </w:p>
        </w:tc>
        <w:tc>
          <w:tcPr>
            <w:tcW w:w="2614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left="10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Level of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damage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465" w:hRule="exact"/>
        </w:trPr>
        <w:tc>
          <w:tcPr>
            <w:tcW w:w="203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10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Explanatory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variables</w:t>
            </w:r>
          </w:p>
        </w:tc>
        <w:tc>
          <w:tcPr>
            <w:tcW w:w="270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202" w:right="104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3"/>
                <w:sz w:val="18"/>
              </w:rPr>
              <w:t>Year </w:t>
            </w:r>
            <w:r>
              <w:rPr>
                <w:rFonts w:ascii="Arial"/>
                <w:sz w:val="18"/>
              </w:rPr>
              <w:t>after harvest;</w:t>
            </w:r>
            <w:r>
              <w:rPr>
                <w:rFonts w:ascii="Arial"/>
                <w:spacing w:val="34"/>
                <w:sz w:val="18"/>
              </w:rPr>
              <w:t> </w:t>
            </w:r>
            <w:r>
              <w:rPr>
                <w:rFonts w:ascii="Arial"/>
                <w:sz w:val="18"/>
              </w:rPr>
              <w:t>appraised</w:t>
            </w:r>
            <w:r>
              <w:rPr>
                <w:rFonts w:ascii="Arial"/>
                <w:w w:val="101"/>
                <w:sz w:val="18"/>
              </w:rPr>
              <w:t> </w:t>
            </w:r>
            <w:r>
              <w:rPr>
                <w:rFonts w:ascii="Arial"/>
                <w:sz w:val="18"/>
              </w:rPr>
              <w:t>value; </w:t>
            </w:r>
            <w:r>
              <w:rPr>
                <w:rFonts w:ascii="Arial"/>
                <w:spacing w:val="-3"/>
                <w:sz w:val="18"/>
              </w:rPr>
              <w:t>level of</w:t>
            </w:r>
            <w:r>
              <w:rPr>
                <w:rFonts w:ascii="Arial"/>
                <w:spacing w:val="37"/>
                <w:sz w:val="18"/>
              </w:rPr>
              <w:t> </w:t>
            </w:r>
            <w:r>
              <w:rPr>
                <w:rFonts w:ascii="Arial"/>
                <w:spacing w:val="-3"/>
                <w:sz w:val="18"/>
              </w:rPr>
              <w:t>damage</w:t>
            </w:r>
          </w:p>
        </w:tc>
        <w:tc>
          <w:tcPr>
            <w:tcW w:w="261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106" w:right="107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Number of </w:t>
            </w:r>
            <w:r>
              <w:rPr>
                <w:rFonts w:ascii="Arial"/>
                <w:spacing w:val="-3"/>
                <w:sz w:val="18"/>
              </w:rPr>
              <w:t>bidders;</w:t>
            </w:r>
            <w:r>
              <w:rPr>
                <w:rFonts w:ascii="Arial"/>
                <w:spacing w:val="40"/>
                <w:sz w:val="18"/>
              </w:rPr>
              <w:t> </w:t>
            </w:r>
            <w:r>
              <w:rPr>
                <w:rFonts w:ascii="Arial"/>
                <w:sz w:val="18"/>
              </w:rPr>
              <w:t>appraised</w:t>
            </w:r>
            <w:r>
              <w:rPr>
                <w:rFonts w:ascii="Arial"/>
                <w:w w:val="101"/>
                <w:sz w:val="18"/>
              </w:rPr>
              <w:t> </w:t>
            </w:r>
            <w:r>
              <w:rPr>
                <w:rFonts w:ascii="Arial"/>
                <w:sz w:val="18"/>
              </w:rPr>
              <w:t>value; </w:t>
            </w:r>
            <w:r>
              <w:rPr>
                <w:rFonts w:ascii="Arial"/>
                <w:spacing w:val="-3"/>
                <w:sz w:val="18"/>
              </w:rPr>
              <w:t>level of</w:t>
            </w:r>
            <w:r>
              <w:rPr>
                <w:rFonts w:ascii="Arial"/>
                <w:spacing w:val="37"/>
                <w:sz w:val="18"/>
              </w:rPr>
              <w:t> </w:t>
            </w:r>
            <w:r>
              <w:rPr>
                <w:rFonts w:ascii="Arial"/>
                <w:spacing w:val="-3"/>
                <w:sz w:val="18"/>
              </w:rPr>
              <w:t>damage</w:t>
            </w:r>
          </w:p>
        </w:tc>
        <w:tc>
          <w:tcPr>
            <w:tcW w:w="2613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109" w:right="105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3"/>
                <w:sz w:val="18"/>
              </w:rPr>
              <w:t>Level </w:t>
            </w:r>
            <w:r>
              <w:rPr>
                <w:rFonts w:ascii="Arial"/>
                <w:sz w:val="18"/>
              </w:rPr>
              <w:t>of damage; </w:t>
            </w:r>
            <w:r>
              <w:rPr>
                <w:rFonts w:ascii="Arial"/>
                <w:spacing w:val="-3"/>
                <w:sz w:val="18"/>
              </w:rPr>
              <w:t>number</w:t>
            </w:r>
            <w:r>
              <w:rPr>
                <w:rFonts w:ascii="Arial"/>
                <w:spacing w:val="39"/>
                <w:sz w:val="18"/>
              </w:rPr>
              <w:t> </w:t>
            </w:r>
            <w:r>
              <w:rPr>
                <w:rFonts w:ascii="Arial"/>
                <w:spacing w:val="-3"/>
                <w:sz w:val="18"/>
              </w:rPr>
              <w:t>of</w:t>
            </w:r>
            <w:r>
              <w:rPr>
                <w:rFonts w:ascii="Arial"/>
                <w:w w:val="101"/>
                <w:sz w:val="18"/>
              </w:rPr>
              <w:t> </w:t>
            </w:r>
            <w:r>
              <w:rPr>
                <w:rFonts w:ascii="Arial"/>
                <w:sz w:val="18"/>
              </w:rPr>
              <w:t>bidders; year after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harvest</w:t>
            </w:r>
          </w:p>
        </w:tc>
        <w:tc>
          <w:tcPr>
            <w:tcW w:w="2614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107" w:right="107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Appraised value; year</w:t>
            </w:r>
            <w:r>
              <w:rPr>
                <w:rFonts w:ascii="Arial"/>
                <w:spacing w:val="36"/>
                <w:sz w:val="18"/>
              </w:rPr>
              <w:t> </w:t>
            </w:r>
            <w:r>
              <w:rPr>
                <w:rFonts w:ascii="Arial"/>
                <w:sz w:val="18"/>
              </w:rPr>
              <w:t>after</w:t>
            </w:r>
            <w:r>
              <w:rPr>
                <w:rFonts w:ascii="Arial"/>
                <w:w w:val="101"/>
                <w:sz w:val="18"/>
              </w:rPr>
              <w:t> </w:t>
            </w:r>
            <w:r>
              <w:rPr>
                <w:rFonts w:ascii="Arial"/>
                <w:sz w:val="18"/>
              </w:rPr>
              <w:t>harvest; </w:t>
            </w:r>
            <w:r>
              <w:rPr>
                <w:rFonts w:ascii="Arial"/>
                <w:spacing w:val="-3"/>
                <w:sz w:val="18"/>
              </w:rPr>
              <w:t>number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14"/>
                <w:sz w:val="18"/>
              </w:rPr>
              <w:t> </w:t>
            </w:r>
            <w:r>
              <w:rPr>
                <w:rFonts w:ascii="Arial"/>
                <w:sz w:val="18"/>
              </w:rPr>
              <w:t>bidders</w:t>
            </w:r>
          </w:p>
        </w:tc>
      </w:tr>
      <w:tr>
        <w:trPr>
          <w:trHeight w:val="247" w:hRule="exact"/>
        </w:trPr>
        <w:tc>
          <w:tcPr>
            <w:tcW w:w="2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36" w:lineRule="exact"/>
              <w:ind w:left="105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i/>
                <w:position w:val="-8"/>
                <w:sz w:val="18"/>
              </w:rPr>
              <w:t>R</w:t>
            </w:r>
            <w:r>
              <w:rPr>
                <w:rFonts w:ascii="Arial"/>
                <w:i/>
                <w:sz w:val="12"/>
              </w:rPr>
              <w:t>2</w:t>
            </w:r>
            <w:r>
              <w:rPr>
                <w:rFonts w:ascii="Arial"/>
                <w:sz w:val="12"/>
              </w:rPr>
            </w:r>
          </w:p>
        </w:tc>
        <w:tc>
          <w:tcPr>
            <w:tcW w:w="27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0"/>
              <w:ind w:left="2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0.401</w:t>
            </w:r>
          </w:p>
        </w:tc>
        <w:tc>
          <w:tcPr>
            <w:tcW w:w="26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0"/>
              <w:ind w:left="1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0.150</w:t>
            </w:r>
          </w:p>
        </w:tc>
        <w:tc>
          <w:tcPr>
            <w:tcW w:w="26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0"/>
              <w:ind w:left="10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0.393</w:t>
            </w:r>
          </w:p>
        </w:tc>
        <w:tc>
          <w:tcPr>
            <w:tcW w:w="26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0"/>
              <w:ind w:left="10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0.544</w:t>
            </w:r>
          </w:p>
        </w:tc>
      </w:tr>
      <w:tr>
        <w:trPr>
          <w:trHeight w:val="268" w:hRule="exact"/>
        </w:trPr>
        <w:tc>
          <w:tcPr>
            <w:tcW w:w="2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exact"/>
              <w:ind w:left="105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8"/>
              </w:rPr>
              <w:t>Adjusted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i/>
                <w:sz w:val="18"/>
              </w:rPr>
              <w:t>R</w:t>
            </w:r>
            <w:r>
              <w:rPr>
                <w:rFonts w:ascii="Arial"/>
                <w:i/>
                <w:position w:val="9"/>
                <w:sz w:val="12"/>
              </w:rPr>
              <w:t>2</w:t>
            </w:r>
            <w:r>
              <w:rPr>
                <w:rFonts w:ascii="Arial"/>
                <w:sz w:val="12"/>
              </w:rPr>
            </w:r>
          </w:p>
        </w:tc>
        <w:tc>
          <w:tcPr>
            <w:tcW w:w="27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2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0.385</w:t>
            </w:r>
          </w:p>
        </w:tc>
        <w:tc>
          <w:tcPr>
            <w:tcW w:w="26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1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0.126</w:t>
            </w:r>
          </w:p>
        </w:tc>
        <w:tc>
          <w:tcPr>
            <w:tcW w:w="26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10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0.376</w:t>
            </w:r>
          </w:p>
        </w:tc>
        <w:tc>
          <w:tcPr>
            <w:tcW w:w="26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10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0.531</w:t>
            </w:r>
          </w:p>
        </w:tc>
      </w:tr>
      <w:tr>
        <w:trPr>
          <w:trHeight w:val="234" w:hRule="exact"/>
        </w:trPr>
        <w:tc>
          <w:tcPr>
            <w:tcW w:w="203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Significance</w:t>
            </w:r>
          </w:p>
        </w:tc>
        <w:tc>
          <w:tcPr>
            <w:tcW w:w="2708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2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***</w:t>
            </w:r>
          </w:p>
        </w:tc>
        <w:tc>
          <w:tcPr>
            <w:tcW w:w="2615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***</w:t>
            </w:r>
          </w:p>
        </w:tc>
        <w:tc>
          <w:tcPr>
            <w:tcW w:w="2613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***</w:t>
            </w:r>
          </w:p>
        </w:tc>
        <w:tc>
          <w:tcPr>
            <w:tcW w:w="2614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***</w:t>
            </w:r>
          </w:p>
        </w:tc>
      </w:tr>
    </w:tbl>
    <w:p>
      <w:pPr>
        <w:spacing w:before="90"/>
        <w:ind w:left="1099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***= Significant </w:t>
      </w:r>
      <w:r>
        <w:rPr>
          <w:rFonts w:ascii="Arial"/>
          <w:spacing w:val="-4"/>
          <w:sz w:val="16"/>
        </w:rPr>
        <w:t>at </w:t>
      </w:r>
      <w:r>
        <w:rPr>
          <w:rFonts w:ascii="Arial"/>
          <w:sz w:val="16"/>
        </w:rPr>
        <w:t>1%</w:t>
      </w:r>
      <w:r>
        <w:rPr>
          <w:rFonts w:ascii="Arial"/>
          <w:spacing w:val="-4"/>
          <w:sz w:val="16"/>
        </w:rPr>
        <w:t> </w:t>
      </w:r>
      <w:r>
        <w:rPr>
          <w:rFonts w:ascii="Arial"/>
          <w:sz w:val="16"/>
        </w:rPr>
        <w:t>level.</w:t>
      </w:r>
    </w:p>
    <w:p>
      <w:pPr>
        <w:spacing w:line="240" w:lineRule="auto" w:before="11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pgSz w:w="15840" w:h="12240" w:orient="landscape"/>
          <w:pgMar w:top="800" w:bottom="280" w:left="720" w:right="460"/>
        </w:sectPr>
      </w:pPr>
    </w:p>
    <w:p>
      <w:pPr>
        <w:pStyle w:val="BodyText"/>
        <w:spacing w:line="244" w:lineRule="auto" w:before="84"/>
        <w:ind w:left="288" w:right="0"/>
        <w:jc w:val="left"/>
      </w:pPr>
      <w:r>
        <w:rPr/>
        <w:t>range between 0.150-0.544 and adjusted</w:t>
      </w:r>
      <w:r>
        <w:rPr>
          <w:spacing w:val="53"/>
        </w:rPr>
        <w:t> </w:t>
      </w:r>
      <w:r>
        <w:rPr>
          <w:rFonts w:ascii="Arial" w:hAnsi="Arial" w:cs="Arial" w:eastAsia="Arial"/>
          <w:i/>
        </w:rPr>
        <w:t>R</w:t>
      </w:r>
      <w:r>
        <w:rPr>
          <w:rFonts w:ascii="Arial" w:hAnsi="Arial" w:cs="Arial" w:eastAsia="Arial"/>
          <w:i/>
          <w:position w:val="10"/>
          <w:sz w:val="13"/>
          <w:szCs w:val="13"/>
        </w:rPr>
        <w:t>2</w:t>
      </w:r>
      <w:r>
        <w:rPr>
          <w:rFonts w:ascii="Arial" w:hAnsi="Arial" w:cs="Arial" w:eastAsia="Arial"/>
        </w:rPr>
        <w:t>’s</w:t>
      </w:r>
      <w:r>
        <w:rPr>
          <w:rFonts w:ascii="Arial" w:hAnsi="Arial" w:cs="Arial" w:eastAsia="Arial"/>
          <w:w w:val="100"/>
        </w:rPr>
        <w:t> </w:t>
      </w:r>
      <w:r>
        <w:rPr/>
        <w:t>between 0.126 and 0.531, and all </w:t>
      </w:r>
      <w:r>
        <w:rPr>
          <w:spacing w:val="-4"/>
        </w:rPr>
        <w:t>of </w:t>
      </w:r>
      <w:r>
        <w:rPr/>
        <w:t>them stand</w:t>
      </w:r>
      <w:r>
        <w:rPr>
          <w:spacing w:val="-2"/>
        </w:rPr>
        <w:t> </w:t>
      </w:r>
      <w:r>
        <w:rPr/>
        <w:t>to</w:t>
      </w:r>
    </w:p>
    <w:p>
      <w:pPr>
        <w:spacing w:line="230" w:lineRule="exact" w:before="122"/>
        <w:ind w:left="288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/>
        <w:br w:type="column"/>
      </w:r>
      <w:r>
        <w:rPr>
          <w:rFonts w:ascii="Arial" w:hAnsi="Arial" w:cs="Arial" w:eastAsia="Arial"/>
          <w:sz w:val="20"/>
          <w:szCs w:val="20"/>
        </w:rPr>
        <w:t>be statistically very significant. Adopting</w:t>
      </w:r>
      <w:r>
        <w:rPr>
          <w:rFonts w:ascii="Arial" w:hAnsi="Arial" w:cs="Arial" w:eastAsia="Arial"/>
          <w:spacing w:val="5"/>
          <w:sz w:val="20"/>
          <w:szCs w:val="20"/>
        </w:rPr>
        <w:t> </w:t>
      </w:r>
      <w:r>
        <w:rPr>
          <w:rFonts w:ascii="Arial" w:hAnsi="Arial" w:cs="Arial" w:eastAsia="Arial"/>
          <w:i/>
          <w:sz w:val="20"/>
          <w:szCs w:val="20"/>
        </w:rPr>
        <w:t>Klein’s</w:t>
      </w:r>
      <w:r>
        <w:rPr>
          <w:rFonts w:ascii="Arial" w:hAnsi="Arial" w:cs="Arial" w:eastAsia="Arial"/>
          <w:i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sz w:val="20"/>
          <w:szCs w:val="20"/>
        </w:rPr>
        <w:t>Rule of Thumb</w:t>
      </w:r>
      <w:r>
        <w:rPr>
          <w:rFonts w:ascii="Arial" w:hAnsi="Arial" w:cs="Arial" w:eastAsia="Arial"/>
          <w:sz w:val="20"/>
          <w:szCs w:val="20"/>
        </w:rPr>
        <w:t>, inasmuch  as  the  (adjusted)</w:t>
      </w:r>
      <w:r>
        <w:rPr>
          <w:rFonts w:ascii="Arial" w:hAnsi="Arial" w:cs="Arial" w:eastAsia="Arial"/>
          <w:spacing w:val="41"/>
          <w:sz w:val="20"/>
          <w:szCs w:val="20"/>
        </w:rPr>
        <w:t> </w:t>
      </w:r>
      <w:r>
        <w:rPr>
          <w:rFonts w:ascii="Arial" w:hAnsi="Arial" w:cs="Arial" w:eastAsia="Arial"/>
          <w:i/>
          <w:sz w:val="20"/>
          <w:szCs w:val="20"/>
        </w:rPr>
        <w:t>R</w:t>
      </w:r>
      <w:r>
        <w:rPr>
          <w:rFonts w:ascii="Arial" w:hAnsi="Arial" w:cs="Arial" w:eastAsia="Arial"/>
          <w:i/>
          <w:position w:val="10"/>
          <w:sz w:val="13"/>
          <w:szCs w:val="13"/>
        </w:rPr>
        <w:t>2</w:t>
      </w:r>
      <w:r>
        <w:rPr>
          <w:rFonts w:ascii="Arial" w:hAnsi="Arial" w:cs="Arial" w:eastAsia="Arial"/>
          <w:i/>
          <w:sz w:val="20"/>
          <w:szCs w:val="20"/>
        </w:rPr>
        <w:t>’s</w:t>
      </w:r>
      <w:r>
        <w:rPr>
          <w:rFonts w:ascii="Arial" w:hAnsi="Arial" w:cs="Arial" w:eastAsia="Arial"/>
          <w:sz w:val="20"/>
          <w:szCs w:val="20"/>
        </w:rPr>
      </w:r>
    </w:p>
    <w:p>
      <w:pPr>
        <w:pStyle w:val="BodyText"/>
        <w:tabs>
          <w:tab w:pos="1353" w:val="left" w:leader="none"/>
          <w:tab w:pos="2168" w:val="left" w:leader="none"/>
          <w:tab w:pos="3347" w:val="left" w:leader="none"/>
          <w:tab w:pos="3789" w:val="left" w:leader="none"/>
        </w:tabs>
        <w:spacing w:line="226" w:lineRule="exact" w:before="130"/>
        <w:ind w:left="288" w:right="106"/>
        <w:jc w:val="left"/>
      </w:pPr>
      <w:r>
        <w:rPr/>
        <w:br w:type="column"/>
      </w:r>
      <w:r>
        <w:rPr/>
        <w:t>for</w:t>
      </w:r>
      <w:r>
        <w:rPr>
          <w:spacing w:val="25"/>
        </w:rPr>
        <w:t> </w:t>
      </w:r>
      <w:r>
        <w:rPr/>
        <w:t>the</w:t>
      </w:r>
      <w:r>
        <w:rPr>
          <w:spacing w:val="29"/>
        </w:rPr>
        <w:t> </w:t>
      </w:r>
      <w:r>
        <w:rPr/>
        <w:t>auxiliary</w:t>
      </w:r>
      <w:r>
        <w:rPr>
          <w:spacing w:val="31"/>
        </w:rPr>
        <w:t> </w:t>
      </w:r>
      <w:r>
        <w:rPr/>
        <w:t>regressions</w:t>
      </w:r>
      <w:r>
        <w:rPr>
          <w:spacing w:val="25"/>
        </w:rPr>
        <w:t> </w:t>
      </w:r>
      <w:r>
        <w:rPr/>
        <w:t>turn</w:t>
      </w:r>
      <w:r>
        <w:rPr>
          <w:spacing w:val="29"/>
        </w:rPr>
        <w:t> </w:t>
      </w:r>
      <w:r>
        <w:rPr/>
        <w:t>out</w:t>
      </w:r>
      <w:r>
        <w:rPr>
          <w:spacing w:val="32"/>
        </w:rPr>
        <w:t> </w:t>
      </w:r>
      <w:r>
        <w:rPr/>
        <w:t>to</w:t>
      </w:r>
      <w:r>
        <w:rPr>
          <w:spacing w:val="29"/>
        </w:rPr>
        <w:t> </w:t>
      </w:r>
      <w:r>
        <w:rPr/>
        <w:t>be</w:t>
      </w:r>
      <w:r>
        <w:rPr>
          <w:spacing w:val="29"/>
        </w:rPr>
        <w:t> </w:t>
      </w:r>
      <w:r>
        <w:rPr/>
        <w:t>lower</w:t>
      </w:r>
      <w:r>
        <w:rPr>
          <w:w w:val="100"/>
        </w:rPr>
        <w:t> </w:t>
      </w:r>
      <w:r>
        <w:rPr>
          <w:spacing w:val="-1"/>
        </w:rPr>
        <w:t>than</w:t>
      </w:r>
      <w:r>
        <w:rPr/>
        <w:t>  </w:t>
      </w:r>
      <w:r>
        <w:rPr>
          <w:spacing w:val="11"/>
        </w:rPr>
        <w:t> </w:t>
      </w:r>
      <w:r>
        <w:rPr>
          <w:spacing w:val="-1"/>
        </w:rPr>
        <w:t>the</w:t>
        <w:tab/>
      </w:r>
      <w:r>
        <w:rPr>
          <w:spacing w:val="-2"/>
        </w:rPr>
        <w:t>overall</w:t>
        <w:tab/>
        <w:t>(adjusted)</w:t>
        <w:tab/>
      </w:r>
      <w:r>
        <w:rPr>
          <w:rFonts w:ascii="Arial"/>
          <w:i/>
          <w:spacing w:val="-1"/>
        </w:rPr>
        <w:t>R</w:t>
      </w:r>
      <w:r>
        <w:rPr>
          <w:rFonts w:ascii="Arial"/>
          <w:i/>
          <w:spacing w:val="-1"/>
          <w:position w:val="10"/>
          <w:sz w:val="13"/>
        </w:rPr>
        <w:t>2</w:t>
        <w:tab/>
      </w:r>
      <w:r>
        <w:rPr>
          <w:spacing w:val="-1"/>
        </w:rPr>
        <w:t>(Table</w:t>
      </w:r>
      <w:r>
        <w:rPr/>
        <w:t>  </w:t>
      </w:r>
      <w:r>
        <w:rPr>
          <w:spacing w:val="7"/>
        </w:rPr>
        <w:t> </w:t>
      </w:r>
      <w:r>
        <w:rPr>
          <w:spacing w:val="-1"/>
        </w:rPr>
        <w:t>4),</w:t>
      </w:r>
    </w:p>
    <w:p>
      <w:pPr>
        <w:spacing w:after="0" w:line="226" w:lineRule="exact"/>
        <w:jc w:val="left"/>
        <w:sectPr>
          <w:type w:val="continuous"/>
          <w:pgSz w:w="15840" w:h="12240" w:orient="landscape"/>
          <w:pgMar w:top="520" w:bottom="280" w:left="720" w:right="460"/>
          <w:cols w:num="3" w:equalWidth="0">
            <w:col w:w="4754" w:space="144"/>
            <w:col w:w="4754" w:space="143"/>
            <w:col w:w="4865"/>
          </w:cols>
        </w:sectPr>
      </w:pPr>
    </w:p>
    <w:p>
      <w:pPr>
        <w:pStyle w:val="BodyText"/>
        <w:tabs>
          <w:tab w:pos="1582" w:val="left" w:leader="none"/>
        </w:tabs>
        <w:spacing w:line="240" w:lineRule="auto" w:before="59"/>
        <w:ind w:left="0" w:right="104"/>
        <w:jc w:val="right"/>
      </w:pPr>
      <w:r>
        <w:rPr/>
        <w:t>Öztürk </w:t>
      </w:r>
      <w:r>
        <w:rPr>
          <w:spacing w:val="-1"/>
        </w:rPr>
        <w:t>et</w:t>
      </w:r>
      <w:r>
        <w:rPr>
          <w:spacing w:val="9"/>
        </w:rPr>
        <w:t> </w:t>
      </w:r>
      <w:r>
        <w:rPr>
          <w:spacing w:val="-2"/>
        </w:rPr>
        <w:t>al.</w:t>
        <w:tab/>
        <w:t>8555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108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w w:val="105"/>
          <w:sz w:val="16"/>
        </w:rPr>
        <w:t>Table 4. </w:t>
      </w:r>
      <w:r>
        <w:rPr>
          <w:rFonts w:ascii="Arial"/>
          <w:w w:val="105"/>
          <w:sz w:val="16"/>
        </w:rPr>
        <w:t>Results </w:t>
      </w:r>
      <w:r>
        <w:rPr>
          <w:rFonts w:ascii="Arial"/>
          <w:spacing w:val="-4"/>
          <w:w w:val="105"/>
          <w:sz w:val="16"/>
        </w:rPr>
        <w:t>of </w:t>
      </w:r>
      <w:r>
        <w:rPr>
          <w:rFonts w:ascii="Arial"/>
          <w:w w:val="105"/>
          <w:sz w:val="16"/>
        </w:rPr>
        <w:t>timber sales price</w:t>
      </w:r>
      <w:r>
        <w:rPr>
          <w:rFonts w:ascii="Arial"/>
          <w:spacing w:val="24"/>
          <w:w w:val="105"/>
          <w:sz w:val="16"/>
        </w:rPr>
        <w:t> </w:t>
      </w:r>
      <w:r>
        <w:rPr>
          <w:rFonts w:ascii="Arial"/>
          <w:w w:val="105"/>
          <w:sz w:val="16"/>
        </w:rPr>
        <w:t>model.</w:t>
      </w:r>
      <w:r>
        <w:rPr>
          <w:rFonts w:ascii="Arial"/>
          <w:sz w:val="16"/>
        </w:rPr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spacing w:line="20" w:lineRule="exact"/>
        <w:ind w:left="10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689.95pt;height:.75pt;mso-position-horizontal-relative:char;mso-position-vertical-relative:line" coordorigin="0,0" coordsize="13799,15">
            <v:group style="position:absolute;left:7;top:7;width:13785;height:2" coordorigin="7,7" coordsize="13785,2">
              <v:shape style="position:absolute;left:7;top:7;width:13785;height:2" coordorigin="7,7" coordsize="13785,0" path="m7,7l13792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27"/>
        <w:ind w:left="6301" w:right="6769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z w:val="18"/>
        </w:rPr>
        <w:t>Model</w:t>
      </w:r>
      <w:r>
        <w:rPr>
          <w:rFonts w:ascii="Arial"/>
          <w:b/>
          <w:spacing w:val="-1"/>
          <w:sz w:val="18"/>
        </w:rPr>
        <w:t> </w:t>
      </w:r>
      <w:r>
        <w:rPr>
          <w:rFonts w:ascii="Arial"/>
          <w:b/>
          <w:sz w:val="18"/>
        </w:rPr>
        <w:t>summary</w:t>
      </w:r>
      <w:r>
        <w:rPr>
          <w:rFonts w:ascii="Arial"/>
          <w:sz w:val="18"/>
        </w:rPr>
      </w:r>
    </w:p>
    <w:p>
      <w:pPr>
        <w:spacing w:line="20" w:lineRule="exact"/>
        <w:ind w:left="10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690pt;height:.75pt;mso-position-horizontal-relative:char;mso-position-vertical-relative:line" coordorigin="0,0" coordsize="13800,15">
            <v:group style="position:absolute;left:7;top:7;width:2252;height:2" coordorigin="7,7" coordsize="2252,2">
              <v:shape style="position:absolute;left:7;top:7;width:2252;height:2" coordorigin="7,7" coordsize="2252,0" path="m7,7l2259,7e" filled="false" stroked="true" strokeweight=".72pt" strokecolor="#000000">
                <v:path arrowok="t"/>
              </v:shape>
            </v:group>
            <v:group style="position:absolute;left:2259;top:7;width:15;height:2" coordorigin="2259,7" coordsize="15,2">
              <v:shape style="position:absolute;left:2259;top:7;width:15;height:2" coordorigin="2259,7" coordsize="15,0" path="m2259,7l2273,7e" filled="false" stroked="true" strokeweight=".72pt" strokecolor="#000000">
                <v:path arrowok="t"/>
              </v:shape>
            </v:group>
            <v:group style="position:absolute;left:2273;top:7;width:2506;height:2" coordorigin="2273,7" coordsize="2506,2">
              <v:shape style="position:absolute;left:2273;top:7;width:2506;height:2" coordorigin="2273,7" coordsize="2506,0" path="m2273,7l4779,7e" filled="false" stroked="true" strokeweight=".72pt" strokecolor="#000000">
                <v:path arrowok="t"/>
              </v:shape>
            </v:group>
            <v:group style="position:absolute;left:4779;top:7;width:15;height:2" coordorigin="4779,7" coordsize="15,2">
              <v:shape style="position:absolute;left:4779;top:7;width:15;height:2" coordorigin="4779,7" coordsize="15,0" path="m4779,7l4794,7e" filled="false" stroked="true" strokeweight=".72pt" strokecolor="#000000">
                <v:path arrowok="t"/>
              </v:shape>
            </v:group>
            <v:group style="position:absolute;left:4794;top:7;width:1787;height:2" coordorigin="4794,7" coordsize="1787,2">
              <v:shape style="position:absolute;left:4794;top:7;width:1787;height:2" coordorigin="4794,7" coordsize="1787,0" path="m4794,7l6580,7e" filled="false" stroked="true" strokeweight=".72pt" strokecolor="#000000">
                <v:path arrowok="t"/>
              </v:shape>
            </v:group>
            <v:group style="position:absolute;left:6580;top:7;width:15;height:2" coordorigin="6580,7" coordsize="15,2">
              <v:shape style="position:absolute;left:6580;top:7;width:15;height:2" coordorigin="6580,7" coordsize="15,0" path="m6580,7l6595,7e" filled="false" stroked="true" strokeweight=".72pt" strokecolor="#000000">
                <v:path arrowok="t"/>
              </v:shape>
            </v:group>
            <v:group style="position:absolute;left:6595;top:7;width:3928;height:2" coordorigin="6595,7" coordsize="3928,2">
              <v:shape style="position:absolute;left:6595;top:7;width:3928;height:2" coordorigin="6595,7" coordsize="3928,0" path="m6595,7l10522,7e" filled="false" stroked="true" strokeweight=".72pt" strokecolor="#000000">
                <v:path arrowok="t"/>
              </v:shape>
            </v:group>
            <v:group style="position:absolute;left:10522;top:7;width:15;height:2" coordorigin="10522,7" coordsize="15,2">
              <v:shape style="position:absolute;left:10522;top:7;width:15;height:2" coordorigin="10522,7" coordsize="15,0" path="m10522,7l10537,7e" filled="false" stroked="true" strokeweight=".72pt" strokecolor="#000000">
                <v:path arrowok="t"/>
              </v:shape>
            </v:group>
            <v:group style="position:absolute;left:10537;top:7;width:3256;height:2" coordorigin="10537,7" coordsize="3256,2">
              <v:shape style="position:absolute;left:10537;top:7;width:3256;height:2" coordorigin="10537,7" coordsize="3256,0" path="m10537,7l13792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tabs>
          <w:tab w:pos="3550" w:val="left" w:leader="none"/>
          <w:tab w:pos="5677" w:val="left" w:leader="none"/>
          <w:tab w:pos="8140" w:val="left" w:leader="none"/>
          <w:tab w:pos="11189" w:val="left" w:leader="none"/>
        </w:tabs>
        <w:spacing w:before="3"/>
        <w:ind w:left="1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2"/>
          <w:sz w:val="18"/>
        </w:rPr>
        <w:t>Model</w:t>
        <w:tab/>
      </w:r>
      <w:r>
        <w:rPr>
          <w:rFonts w:ascii="Arial"/>
          <w:b/>
          <w:sz w:val="18"/>
        </w:rPr>
        <w:t>R</w:t>
        <w:tab/>
      </w:r>
      <w:r>
        <w:rPr>
          <w:rFonts w:ascii="Arial"/>
          <w:b/>
          <w:spacing w:val="-2"/>
          <w:sz w:val="18"/>
        </w:rPr>
        <w:t>R</w:t>
      </w:r>
      <w:r>
        <w:rPr>
          <w:rFonts w:ascii="Arial"/>
          <w:b/>
          <w:spacing w:val="-2"/>
          <w:position w:val="9"/>
          <w:sz w:val="12"/>
        </w:rPr>
        <w:t>2</w:t>
        <w:tab/>
      </w:r>
      <w:r>
        <w:rPr>
          <w:rFonts w:ascii="Arial"/>
          <w:b/>
          <w:spacing w:val="-2"/>
          <w:sz w:val="18"/>
        </w:rPr>
        <w:t>Adjusted</w:t>
      </w:r>
      <w:r>
        <w:rPr>
          <w:rFonts w:ascii="Arial"/>
          <w:b/>
          <w:spacing w:val="18"/>
          <w:sz w:val="18"/>
        </w:rPr>
        <w:t> </w:t>
      </w:r>
      <w:r>
        <w:rPr>
          <w:rFonts w:ascii="Arial"/>
          <w:b/>
          <w:spacing w:val="-1"/>
          <w:sz w:val="18"/>
        </w:rPr>
        <w:t>R</w:t>
      </w:r>
      <w:r>
        <w:rPr>
          <w:rFonts w:ascii="Arial"/>
          <w:b/>
          <w:spacing w:val="-1"/>
          <w:position w:val="9"/>
          <w:sz w:val="12"/>
        </w:rPr>
        <w:t>2</w:t>
        <w:tab/>
      </w:r>
      <w:r>
        <w:rPr>
          <w:rFonts w:ascii="Arial"/>
          <w:b/>
          <w:spacing w:val="-1"/>
          <w:sz w:val="18"/>
        </w:rPr>
        <w:t>Std.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2"/>
          <w:sz w:val="18"/>
        </w:rPr>
        <w:t>error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of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pacing w:val="26"/>
          <w:sz w:val="18"/>
        </w:rPr>
        <w:t> </w:t>
      </w:r>
      <w:r>
        <w:rPr>
          <w:rFonts w:ascii="Arial"/>
          <w:b/>
          <w:spacing w:val="-2"/>
          <w:sz w:val="18"/>
        </w:rPr>
        <w:t>estimate</w:t>
      </w:r>
      <w:r>
        <w:rPr>
          <w:rFonts w:ascii="Arial"/>
          <w:spacing w:val="-2"/>
          <w:sz w:val="18"/>
        </w:rPr>
      </w:r>
    </w:p>
    <w:p>
      <w:pPr>
        <w:spacing w:line="20" w:lineRule="exact"/>
        <w:ind w:left="10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690pt;height:.75pt;mso-position-horizontal-relative:char;mso-position-vertical-relative:line" coordorigin="0,0" coordsize="13800,15">
            <v:group style="position:absolute;left:7;top:7;width:2252;height:2" coordorigin="7,7" coordsize="2252,2">
              <v:shape style="position:absolute;left:7;top:7;width:2252;height:2" coordorigin="7,7" coordsize="2252,0" path="m7,7l2259,7e" filled="false" stroked="true" strokeweight=".72pt" strokecolor="#000000">
                <v:path arrowok="t"/>
              </v:shape>
            </v:group>
            <v:group style="position:absolute;left:2259;top:7;width:15;height:2" coordorigin="2259,7" coordsize="15,2">
              <v:shape style="position:absolute;left:2259;top:7;width:15;height:2" coordorigin="2259,7" coordsize="15,0" path="m2259,7l2273,7e" filled="false" stroked="true" strokeweight=".72pt" strokecolor="#000000">
                <v:path arrowok="t"/>
              </v:shape>
            </v:group>
            <v:group style="position:absolute;left:2273;top:7;width:2506;height:2" coordorigin="2273,7" coordsize="2506,2">
              <v:shape style="position:absolute;left:2273;top:7;width:2506;height:2" coordorigin="2273,7" coordsize="2506,0" path="m2273,7l4779,7e" filled="false" stroked="true" strokeweight=".72pt" strokecolor="#000000">
                <v:path arrowok="t"/>
              </v:shape>
            </v:group>
            <v:group style="position:absolute;left:4779;top:7;width:15;height:2" coordorigin="4779,7" coordsize="15,2">
              <v:shape style="position:absolute;left:4779;top:7;width:15;height:2" coordorigin="4779,7" coordsize="15,0" path="m4779,7l4794,7e" filled="false" stroked="true" strokeweight=".72pt" strokecolor="#000000">
                <v:path arrowok="t"/>
              </v:shape>
            </v:group>
            <v:group style="position:absolute;left:4794;top:7;width:1787;height:2" coordorigin="4794,7" coordsize="1787,2">
              <v:shape style="position:absolute;left:4794;top:7;width:1787;height:2" coordorigin="4794,7" coordsize="1787,0" path="m4794,7l6580,7e" filled="false" stroked="true" strokeweight=".72pt" strokecolor="#000000">
                <v:path arrowok="t"/>
              </v:shape>
            </v:group>
            <v:group style="position:absolute;left:6580;top:7;width:15;height:2" coordorigin="6580,7" coordsize="15,2">
              <v:shape style="position:absolute;left:6580;top:7;width:15;height:2" coordorigin="6580,7" coordsize="15,0" path="m6580,7l6595,7e" filled="false" stroked="true" strokeweight=".72pt" strokecolor="#000000">
                <v:path arrowok="t"/>
              </v:shape>
            </v:group>
            <v:group style="position:absolute;left:6595;top:7;width:3928;height:2" coordorigin="6595,7" coordsize="3928,2">
              <v:shape style="position:absolute;left:6595;top:7;width:3928;height:2" coordorigin="6595,7" coordsize="3928,0" path="m6595,7l10522,7e" filled="false" stroked="true" strokeweight=".72pt" strokecolor="#000000">
                <v:path arrowok="t"/>
              </v:shape>
            </v:group>
            <v:group style="position:absolute;left:10522;top:7;width:15;height:2" coordorigin="10522,7" coordsize="15,2">
              <v:shape style="position:absolute;left:10522;top:7;width:15;height:2" coordorigin="10522,7" coordsize="15,0" path="m10522,7l10537,7e" filled="false" stroked="true" strokeweight=".72pt" strokecolor="#000000">
                <v:path arrowok="t"/>
              </v:shape>
            </v:group>
            <v:group style="position:absolute;left:10537;top:7;width:3256;height:2" coordorigin="10537,7" coordsize="3256,2">
              <v:shape style="position:absolute;left:10537;top:7;width:3256;height:2" coordorigin="10537,7" coordsize="3256,0" path="m10537,7l13792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tabs>
          <w:tab w:pos="3358" w:val="left" w:leader="none"/>
          <w:tab w:pos="5553" w:val="left" w:leader="none"/>
          <w:tab w:pos="8424" w:val="left" w:leader="none"/>
          <w:tab w:pos="11881" w:val="left" w:leader="none"/>
        </w:tabs>
        <w:spacing w:before="0"/>
        <w:ind w:left="1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spacing w:val="-2"/>
          <w:sz w:val="18"/>
        </w:rPr>
        <w:t>Timber</w:t>
      </w:r>
      <w:r>
        <w:rPr>
          <w:rFonts w:ascii="Arial"/>
          <w:sz w:val="18"/>
        </w:rPr>
        <w:t> </w:t>
      </w:r>
      <w:r>
        <w:rPr>
          <w:rFonts w:ascii="Arial"/>
          <w:spacing w:val="-2"/>
          <w:sz w:val="18"/>
        </w:rPr>
        <w:t>sales</w:t>
      </w:r>
      <w:r>
        <w:rPr>
          <w:rFonts w:ascii="Arial"/>
          <w:sz w:val="18"/>
        </w:rPr>
        <w:t> </w:t>
      </w:r>
      <w:r>
        <w:rPr>
          <w:rFonts w:ascii="Arial"/>
          <w:spacing w:val="-2"/>
          <w:sz w:val="18"/>
        </w:rPr>
        <w:t>price</w:t>
      </w:r>
      <w:r>
        <w:rPr>
          <w:rFonts w:ascii="Arial"/>
          <w:spacing w:val="28"/>
          <w:sz w:val="18"/>
        </w:rPr>
        <w:t> </w:t>
      </w:r>
      <w:r>
        <w:rPr>
          <w:rFonts w:ascii="Arial"/>
          <w:spacing w:val="-1"/>
          <w:sz w:val="18"/>
        </w:rPr>
        <w:t>model</w:t>
        <w:tab/>
        <w:t>0.893</w:t>
      </w:r>
      <w:r>
        <w:rPr>
          <w:rFonts w:ascii="Arial"/>
          <w:spacing w:val="-1"/>
          <w:position w:val="9"/>
          <w:sz w:val="12"/>
        </w:rPr>
        <w:t>a</w:t>
        <w:tab/>
      </w:r>
      <w:r>
        <w:rPr>
          <w:rFonts w:ascii="Arial"/>
          <w:spacing w:val="-1"/>
          <w:sz w:val="18"/>
        </w:rPr>
        <w:t>0.798</w:t>
        <w:tab/>
        <w:t>0.790</w:t>
        <w:tab/>
      </w:r>
      <w:r>
        <w:rPr>
          <w:rFonts w:ascii="Arial"/>
          <w:spacing w:val="-2"/>
          <w:sz w:val="18"/>
        </w:rPr>
        <w:t>13.47967</w:t>
      </w:r>
    </w:p>
    <w:p>
      <w:pPr>
        <w:spacing w:line="240" w:lineRule="auto" w:before="2"/>
        <w:rPr>
          <w:rFonts w:ascii="Arial" w:hAnsi="Arial" w:cs="Arial" w:eastAsia="Arial"/>
          <w:sz w:val="22"/>
          <w:szCs w:val="22"/>
        </w:rPr>
      </w:pPr>
    </w:p>
    <w:p>
      <w:pPr>
        <w:spacing w:line="20" w:lineRule="exact"/>
        <w:ind w:left="10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690pt;height:.75pt;mso-position-horizontal-relative:char;mso-position-vertical-relative:line" coordorigin="0,0" coordsize="13800,15">
            <v:group style="position:absolute;left:7;top:7;width:2252;height:2" coordorigin="7,7" coordsize="2252,2">
              <v:shape style="position:absolute;left:7;top:7;width:2252;height:2" coordorigin="7,7" coordsize="2252,0" path="m7,7l2259,7e" filled="false" stroked="true" strokeweight=".72pt" strokecolor="#000000">
                <v:path arrowok="t"/>
              </v:shape>
            </v:group>
            <v:group style="position:absolute;left:2259;top:7;width:15;height:2" coordorigin="2259,7" coordsize="15,2">
              <v:shape style="position:absolute;left:2259;top:7;width:15;height:2" coordorigin="2259,7" coordsize="15,0" path="m2259,7l2273,7e" filled="false" stroked="true" strokeweight=".72pt" strokecolor="#000000">
                <v:path arrowok="t"/>
              </v:shape>
            </v:group>
            <v:group style="position:absolute;left:2273;top:7;width:2506;height:2" coordorigin="2273,7" coordsize="2506,2">
              <v:shape style="position:absolute;left:2273;top:7;width:2506;height:2" coordorigin="2273,7" coordsize="2506,0" path="m2273,7l4779,7e" filled="false" stroked="true" strokeweight=".72pt" strokecolor="#000000">
                <v:path arrowok="t"/>
              </v:shape>
            </v:group>
            <v:group style="position:absolute;left:4779;top:7;width:15;height:2" coordorigin="4779,7" coordsize="15,2">
              <v:shape style="position:absolute;left:4779;top:7;width:15;height:2" coordorigin="4779,7" coordsize="15,0" path="m4779,7l4794,7e" filled="false" stroked="true" strokeweight=".72pt" strokecolor="#000000">
                <v:path arrowok="t"/>
              </v:shape>
            </v:group>
            <v:group style="position:absolute;left:4794;top:7;width:1787;height:2" coordorigin="4794,7" coordsize="1787,2">
              <v:shape style="position:absolute;left:4794;top:7;width:1787;height:2" coordorigin="4794,7" coordsize="1787,0" path="m4794,7l6580,7e" filled="false" stroked="true" strokeweight=".72pt" strokecolor="#000000">
                <v:path arrowok="t"/>
              </v:shape>
            </v:group>
            <v:group style="position:absolute;left:6580;top:7;width:15;height:2" coordorigin="6580,7" coordsize="15,2">
              <v:shape style="position:absolute;left:6580;top:7;width:15;height:2" coordorigin="6580,7" coordsize="15,0" path="m6580,7l6595,7e" filled="false" stroked="true" strokeweight=".72pt" strokecolor="#000000">
                <v:path arrowok="t"/>
              </v:shape>
            </v:group>
            <v:group style="position:absolute;left:6595;top:7;width:3928;height:2" coordorigin="6595,7" coordsize="3928,2">
              <v:shape style="position:absolute;left:6595;top:7;width:3928;height:2" coordorigin="6595,7" coordsize="3928,0" path="m6595,7l10522,7e" filled="false" stroked="true" strokeweight=".72pt" strokecolor="#000000">
                <v:path arrowok="t"/>
              </v:shape>
            </v:group>
            <v:group style="position:absolute;left:10522;top:7;width:15;height:2" coordorigin="10522,7" coordsize="15,2">
              <v:shape style="position:absolute;left:10522;top:7;width:15;height:2" coordorigin="10522,7" coordsize="15,0" path="m10522,7l10537,7e" filled="false" stroked="true" strokeweight=".72pt" strokecolor="#000000">
                <v:path arrowok="t"/>
              </v:shape>
            </v:group>
            <v:group style="position:absolute;left:10537;top:7;width:3256;height:2" coordorigin="10537,7" coordsize="3256,2">
              <v:shape style="position:absolute;left:10537;top:7;width:3256;height:2" coordorigin="10537,7" coordsize="3256,0" path="m10537,7l13792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35" w:lineRule="exact" w:before="0"/>
        <w:ind w:left="6294" w:right="6769" w:firstLine="0"/>
        <w:jc w:val="center"/>
        <w:rPr>
          <w:rFonts w:ascii="Arial" w:hAnsi="Arial" w:cs="Arial" w:eastAsia="Arial"/>
          <w:sz w:val="12"/>
          <w:szCs w:val="12"/>
        </w:rPr>
      </w:pPr>
      <w:r>
        <w:rPr>
          <w:rFonts w:ascii="Arial"/>
          <w:b/>
          <w:sz w:val="18"/>
        </w:rPr>
        <w:t>ANOVA</w:t>
      </w:r>
      <w:r>
        <w:rPr>
          <w:rFonts w:ascii="Arial"/>
          <w:b/>
          <w:position w:val="9"/>
          <w:sz w:val="12"/>
        </w:rPr>
        <w:t>b</w:t>
      </w:r>
      <w:r>
        <w:rPr>
          <w:rFonts w:ascii="Arial"/>
          <w:sz w:val="12"/>
        </w:rPr>
      </w:r>
    </w:p>
    <w:p>
      <w:pPr>
        <w:spacing w:line="20" w:lineRule="exact"/>
        <w:ind w:left="10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690pt;height:.75pt;mso-position-horizontal-relative:char;mso-position-vertical-relative:line" coordorigin="0,0" coordsize="13800,15">
            <v:group style="position:absolute;left:7;top:7;width:1172;height:2" coordorigin="7,7" coordsize="1172,2">
              <v:shape style="position:absolute;left:7;top:7;width:1172;height:2" coordorigin="7,7" coordsize="1172,0" path="m7,7l1178,7e" filled="false" stroked="true" strokeweight=".72pt" strokecolor="#000000">
                <v:path arrowok="t"/>
              </v:shape>
            </v:group>
            <v:group style="position:absolute;left:1178;top:7;width:15;height:2" coordorigin="1178,7" coordsize="15,2">
              <v:shape style="position:absolute;left:1178;top:7;width:15;height:2" coordorigin="1178,7" coordsize="15,0" path="m1178,7l1193,7e" filled="false" stroked="true" strokeweight=".72pt" strokecolor="#000000">
                <v:path arrowok="t"/>
              </v:shape>
            </v:group>
            <v:group style="position:absolute;left:1193;top:7;width:2776;height:2" coordorigin="1193,7" coordsize="2776,2">
              <v:shape style="position:absolute;left:1193;top:7;width:2776;height:2" coordorigin="1193,7" coordsize="2776,0" path="m1193,7l3968,7e" filled="false" stroked="true" strokeweight=".72pt" strokecolor="#000000">
                <v:path arrowok="t"/>
              </v:shape>
            </v:group>
            <v:group style="position:absolute;left:3968;top:7;width:15;height:2" coordorigin="3968,7" coordsize="15,2">
              <v:shape style="position:absolute;left:3968;top:7;width:15;height:2" coordorigin="3968,7" coordsize="15,0" path="m3968,7l3983,7e" filled="false" stroked="true" strokeweight=".72pt" strokecolor="#000000">
                <v:path arrowok="t"/>
              </v:shape>
            </v:group>
            <v:group style="position:absolute;left:3983;top:7;width:2598;height:2" coordorigin="3983,7" coordsize="2598,2">
              <v:shape style="position:absolute;left:3983;top:7;width:2598;height:2" coordorigin="3983,7" coordsize="2598,0" path="m3983,7l6580,7e" filled="false" stroked="true" strokeweight=".72pt" strokecolor="#000000">
                <v:path arrowok="t"/>
              </v:shape>
            </v:group>
            <v:group style="position:absolute;left:6580;top:7;width:15;height:2" coordorigin="6580,7" coordsize="15,2">
              <v:shape style="position:absolute;left:6580;top:7;width:15;height:2" coordorigin="6580,7" coordsize="15,0" path="m6580,7l6595,7e" filled="false" stroked="true" strokeweight=".72pt" strokecolor="#000000">
                <v:path arrowok="t"/>
              </v:shape>
            </v:group>
            <v:group style="position:absolute;left:6595;top:7;width:3928;height:2" coordorigin="6595,7" coordsize="3928,2">
              <v:shape style="position:absolute;left:6595;top:7;width:3928;height:2" coordorigin="6595,7" coordsize="3928,0" path="m6595,7l10522,7e" filled="false" stroked="true" strokeweight=".72pt" strokecolor="#000000">
                <v:path arrowok="t"/>
              </v:shape>
            </v:group>
            <v:group style="position:absolute;left:10522;top:7;width:15;height:2" coordorigin="10522,7" coordsize="15,2">
              <v:shape style="position:absolute;left:10522;top:7;width:15;height:2" coordorigin="10522,7" coordsize="15,0" path="m10522,7l10537,7e" filled="false" stroked="true" strokeweight=".72pt" strokecolor="#000000">
                <v:path arrowok="t"/>
              </v:shape>
            </v:group>
            <v:group style="position:absolute;left:10537;top:7;width:3256;height:2" coordorigin="10537,7" coordsize="3256,2">
              <v:shape style="position:absolute;left:10537;top:7;width:3256;height:2" coordorigin="10537,7" coordsize="3256,0" path="m10537,7l13792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tabs>
          <w:tab w:pos="1985" w:val="left" w:leader="none"/>
          <w:tab w:pos="5293" w:val="left" w:leader="none"/>
          <w:tab w:pos="8087" w:val="left" w:leader="none"/>
          <w:tab w:pos="12198" w:val="left" w:leader="none"/>
        </w:tabs>
        <w:spacing w:before="37"/>
        <w:ind w:left="1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2"/>
          <w:sz w:val="18"/>
        </w:rPr>
        <w:t>Model</w:t>
        <w:tab/>
      </w:r>
      <w:r>
        <w:rPr>
          <w:rFonts w:ascii="Arial"/>
          <w:b/>
          <w:spacing w:val="-3"/>
          <w:sz w:val="18"/>
        </w:rPr>
        <w:t>Sum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3"/>
          <w:sz w:val="18"/>
        </w:rPr>
        <w:t>of</w:t>
      </w:r>
      <w:r>
        <w:rPr>
          <w:rFonts w:ascii="Arial"/>
          <w:b/>
          <w:spacing w:val="25"/>
          <w:sz w:val="18"/>
        </w:rPr>
        <w:t> </w:t>
      </w:r>
      <w:r>
        <w:rPr>
          <w:rFonts w:ascii="Arial"/>
          <w:b/>
          <w:spacing w:val="-2"/>
          <w:sz w:val="18"/>
        </w:rPr>
        <w:t>Squares</w:t>
        <w:tab/>
      </w:r>
      <w:r>
        <w:rPr>
          <w:rFonts w:ascii="Arial"/>
          <w:b/>
          <w:spacing w:val="-1"/>
          <w:sz w:val="18"/>
        </w:rPr>
        <w:t>df</w:t>
        <w:tab/>
        <w:t>Mean</w:t>
      </w:r>
      <w:r>
        <w:rPr>
          <w:rFonts w:ascii="Arial"/>
          <w:b/>
          <w:spacing w:val="14"/>
          <w:sz w:val="18"/>
        </w:rPr>
        <w:t> </w:t>
      </w:r>
      <w:r>
        <w:rPr>
          <w:rFonts w:ascii="Arial"/>
          <w:b/>
          <w:spacing w:val="-2"/>
          <w:sz w:val="18"/>
        </w:rPr>
        <w:t>Square</w:t>
        <w:tab/>
      </w:r>
      <w:r>
        <w:rPr>
          <w:rFonts w:ascii="Arial"/>
          <w:b/>
          <w:sz w:val="18"/>
        </w:rPr>
        <w:t>F</w:t>
      </w:r>
      <w:r>
        <w:rPr>
          <w:rFonts w:ascii="Arial"/>
          <w:sz w:val="18"/>
        </w:rPr>
      </w:r>
    </w:p>
    <w:p>
      <w:pPr>
        <w:spacing w:line="20" w:lineRule="exact"/>
        <w:ind w:left="10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690pt;height:.75pt;mso-position-horizontal-relative:char;mso-position-vertical-relative:line" coordorigin="0,0" coordsize="13800,15">
            <v:group style="position:absolute;left:7;top:7;width:1172;height:2" coordorigin="7,7" coordsize="1172,2">
              <v:shape style="position:absolute;left:7;top:7;width:1172;height:2" coordorigin="7,7" coordsize="1172,0" path="m7,7l1178,7e" filled="false" stroked="true" strokeweight=".72pt" strokecolor="#000000">
                <v:path arrowok="t"/>
              </v:shape>
            </v:group>
            <v:group style="position:absolute;left:1178;top:7;width:15;height:2" coordorigin="1178,7" coordsize="15,2">
              <v:shape style="position:absolute;left:1178;top:7;width:15;height:2" coordorigin="1178,7" coordsize="15,0" path="m1178,7l1193,7e" filled="false" stroked="true" strokeweight=".72pt" strokecolor="#000000">
                <v:path arrowok="t"/>
              </v:shape>
            </v:group>
            <v:group style="position:absolute;left:1193;top:7;width:2776;height:2" coordorigin="1193,7" coordsize="2776,2">
              <v:shape style="position:absolute;left:1193;top:7;width:2776;height:2" coordorigin="1193,7" coordsize="2776,0" path="m1193,7l3968,7e" filled="false" stroked="true" strokeweight=".72pt" strokecolor="#000000">
                <v:path arrowok="t"/>
              </v:shape>
            </v:group>
            <v:group style="position:absolute;left:3968;top:7;width:15;height:2" coordorigin="3968,7" coordsize="15,2">
              <v:shape style="position:absolute;left:3968;top:7;width:15;height:2" coordorigin="3968,7" coordsize="15,0" path="m3968,7l3983,7e" filled="false" stroked="true" strokeweight=".72pt" strokecolor="#000000">
                <v:path arrowok="t"/>
              </v:shape>
            </v:group>
            <v:group style="position:absolute;left:3983;top:7;width:2598;height:2" coordorigin="3983,7" coordsize="2598,2">
              <v:shape style="position:absolute;left:3983;top:7;width:2598;height:2" coordorigin="3983,7" coordsize="2598,0" path="m3983,7l6580,7e" filled="false" stroked="true" strokeweight=".72pt" strokecolor="#000000">
                <v:path arrowok="t"/>
              </v:shape>
            </v:group>
            <v:group style="position:absolute;left:6580;top:7;width:15;height:2" coordorigin="6580,7" coordsize="15,2">
              <v:shape style="position:absolute;left:6580;top:7;width:15;height:2" coordorigin="6580,7" coordsize="15,0" path="m6580,7l6595,7e" filled="false" stroked="true" strokeweight=".72pt" strokecolor="#000000">
                <v:path arrowok="t"/>
              </v:shape>
            </v:group>
            <v:group style="position:absolute;left:6595;top:7;width:3928;height:2" coordorigin="6595,7" coordsize="3928,2">
              <v:shape style="position:absolute;left:6595;top:7;width:3928;height:2" coordorigin="6595,7" coordsize="3928,0" path="m6595,7l10522,7e" filled="false" stroked="true" strokeweight=".72pt" strokecolor="#000000">
                <v:path arrowok="t"/>
              </v:shape>
            </v:group>
            <v:group style="position:absolute;left:10522;top:7;width:15;height:2" coordorigin="10522,7" coordsize="15,2">
              <v:shape style="position:absolute;left:10522;top:7;width:15;height:2" coordorigin="10522,7" coordsize="15,0" path="m10522,7l10537,7e" filled="false" stroked="true" strokeweight=".72pt" strokecolor="#000000">
                <v:path arrowok="t"/>
              </v:shape>
            </v:group>
            <v:group style="position:absolute;left:10537;top:7;width:3256;height:2" coordorigin="10537,7" coordsize="3256,2">
              <v:shape style="position:absolute;left:10537;top:7;width:3256;height:2" coordorigin="10537,7" coordsize="3256,0" path="m10537,7l13792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tabs>
          <w:tab w:pos="2244" w:val="left" w:leader="none"/>
          <w:tab w:pos="5327" w:val="left" w:leader="none"/>
          <w:tab w:pos="8222" w:val="left" w:leader="none"/>
          <w:tab w:pos="11857" w:val="left" w:leader="none"/>
        </w:tabs>
        <w:spacing w:before="3"/>
        <w:ind w:left="180" w:right="0" w:firstLine="0"/>
        <w:jc w:val="left"/>
        <w:rPr>
          <w:rFonts w:ascii="Arial" w:hAnsi="Arial" w:cs="Arial" w:eastAsia="Arial"/>
          <w:sz w:val="12"/>
          <w:szCs w:val="12"/>
        </w:rPr>
      </w:pPr>
      <w:r>
        <w:rPr>
          <w:rFonts w:ascii="Arial"/>
          <w:spacing w:val="-2"/>
          <w:sz w:val="18"/>
        </w:rPr>
        <w:t>Regression</w:t>
        <w:tab/>
        <w:t>75899.596</w:t>
        <w:tab/>
      </w:r>
      <w:r>
        <w:rPr>
          <w:rFonts w:ascii="Arial"/>
          <w:sz w:val="18"/>
        </w:rPr>
        <w:t>4</w:t>
        <w:tab/>
      </w:r>
      <w:r>
        <w:rPr>
          <w:rFonts w:ascii="Arial"/>
          <w:spacing w:val="-2"/>
          <w:sz w:val="18"/>
        </w:rPr>
        <w:t>18974.899</w:t>
        <w:tab/>
      </w:r>
      <w:r>
        <w:rPr>
          <w:rFonts w:ascii="Arial"/>
          <w:spacing w:val="-1"/>
          <w:sz w:val="18"/>
        </w:rPr>
        <w:t>104.429</w:t>
      </w:r>
      <w:r>
        <w:rPr>
          <w:rFonts w:ascii="Arial"/>
          <w:spacing w:val="-1"/>
          <w:position w:val="9"/>
          <w:sz w:val="12"/>
        </w:rPr>
        <w:t>***</w:t>
      </w:r>
      <w:r>
        <w:rPr>
          <w:rFonts w:ascii="Arial"/>
          <w:sz w:val="12"/>
        </w:rPr>
      </w:r>
    </w:p>
    <w:p>
      <w:pPr>
        <w:tabs>
          <w:tab w:pos="2244" w:val="left" w:leader="none"/>
          <w:tab w:pos="5226" w:val="left" w:leader="none"/>
          <w:tab w:pos="8981" w:val="right" w:leader="none"/>
        </w:tabs>
        <w:spacing w:before="38"/>
        <w:ind w:left="1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spacing w:val="-2"/>
          <w:sz w:val="18"/>
        </w:rPr>
        <w:t>Residual</w:t>
        <w:tab/>
        <w:t>19260.361</w:t>
        <w:tab/>
      </w:r>
      <w:r>
        <w:rPr>
          <w:rFonts w:ascii="Arial"/>
          <w:spacing w:val="-1"/>
          <w:sz w:val="18"/>
        </w:rPr>
        <w:t>106</w:t>
        <w:tab/>
        <w:t>181.702</w:t>
      </w:r>
    </w:p>
    <w:p>
      <w:pPr>
        <w:tabs>
          <w:tab w:pos="2244" w:val="left" w:leader="none"/>
          <w:tab w:pos="5529" w:val="right" w:leader="none"/>
        </w:tabs>
        <w:spacing w:before="38"/>
        <w:ind w:left="1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50.183998pt;margin-top:25.011887pt;width:689.75pt;height:.5pt;mso-position-horizontal-relative:page;mso-position-vertical-relative:paragraph;z-index:-29776" coordorigin="1004,500" coordsize="13795,10">
            <v:group style="position:absolute;left:1008;top:505;width:1172;height:2" coordorigin="1008,505" coordsize="1172,2">
              <v:shape style="position:absolute;left:1008;top:505;width:1172;height:2" coordorigin="1008,505" coordsize="1172,0" path="m1008,505l2180,505e" filled="false" stroked="true" strokeweight=".48pt" strokecolor="#000000">
                <v:path arrowok="t"/>
              </v:shape>
            </v:group>
            <v:group style="position:absolute;left:2180;top:505;width:10;height:2" coordorigin="2180,505" coordsize="10,2">
              <v:shape style="position:absolute;left:2180;top:505;width:10;height:2" coordorigin="2180,505" coordsize="10,0" path="m2180,505l2189,505e" filled="false" stroked="true" strokeweight=".48pt" strokecolor="#000000">
                <v:path arrowok="t"/>
              </v:shape>
            </v:group>
            <v:group style="position:absolute;left:2189;top:505;width:2781;height:2" coordorigin="2189,505" coordsize="2781,2">
              <v:shape style="position:absolute;left:2189;top:505;width:2781;height:2" coordorigin="2189,505" coordsize="2781,0" path="m2189,505l4969,505e" filled="false" stroked="true" strokeweight=".48pt" strokecolor="#000000">
                <v:path arrowok="t"/>
              </v:shape>
            </v:group>
            <v:group style="position:absolute;left:4969;top:505;width:10;height:2" coordorigin="4969,505" coordsize="10,2">
              <v:shape style="position:absolute;left:4969;top:505;width:10;height:2" coordorigin="4969,505" coordsize="10,0" path="m4969,505l4979,505e" filled="false" stroked="true" strokeweight=".48pt" strokecolor="#000000">
                <v:path arrowok="t"/>
              </v:shape>
            </v:group>
            <v:group style="position:absolute;left:4979;top:505;width:2603;height:2" coordorigin="4979,505" coordsize="2603,2">
              <v:shape style="position:absolute;left:4979;top:505;width:2603;height:2" coordorigin="4979,505" coordsize="2603,0" path="m4979,505l7582,505e" filled="false" stroked="true" strokeweight=".48pt" strokecolor="#000000">
                <v:path arrowok="t"/>
              </v:shape>
            </v:group>
            <v:group style="position:absolute;left:7582;top:505;width:10;height:2" coordorigin="7582,505" coordsize="10,2">
              <v:shape style="position:absolute;left:7582;top:505;width:10;height:2" coordorigin="7582,505" coordsize="10,0" path="m7582,505l7591,505e" filled="false" stroked="true" strokeweight=".48pt" strokecolor="#000000">
                <v:path arrowok="t"/>
              </v:shape>
            </v:group>
            <v:group style="position:absolute;left:7591;top:505;width:3933;height:2" coordorigin="7591,505" coordsize="3933,2">
              <v:shape style="position:absolute;left:7591;top:505;width:3933;height:2" coordorigin="7591,505" coordsize="3933,0" path="m7591,505l11523,505e" filled="false" stroked="true" strokeweight=".48pt" strokecolor="#000000">
                <v:path arrowok="t"/>
              </v:shape>
            </v:group>
            <v:group style="position:absolute;left:11523;top:505;width:10;height:2" coordorigin="11523,505" coordsize="10,2">
              <v:shape style="position:absolute;left:11523;top:505;width:10;height:2" coordorigin="11523,505" coordsize="10,0" path="m11523,505l11533,505e" filled="false" stroked="true" strokeweight=".48pt" strokecolor="#000000">
                <v:path arrowok="t"/>
              </v:shape>
            </v:group>
            <v:group style="position:absolute;left:11533;top:505;width:3261;height:2" coordorigin="11533,505" coordsize="3261,2">
              <v:shape style="position:absolute;left:11533;top:505;width:3261;height:2" coordorigin="11533,505" coordsize="3261,0" path="m11533,505l14793,505e" filled="false" stroked="true" strokeweight=".48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spacing w:val="-2"/>
          <w:sz w:val="18"/>
        </w:rPr>
        <w:t>Total</w:t>
        <w:tab/>
        <w:t>95159.956</w:t>
        <w:tab/>
      </w:r>
      <w:r>
        <w:rPr>
          <w:rFonts w:ascii="Arial"/>
          <w:spacing w:val="-1"/>
          <w:sz w:val="18"/>
        </w:rPr>
        <w:t>110</w:t>
      </w:r>
      <w:r>
        <w:rPr>
          <w:rFonts w:ascii="Arial"/>
          <w:sz w:val="18"/>
        </w:rPr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pgSz w:w="15840" w:h="12240" w:orient="landscape"/>
          <w:pgMar w:top="800" w:bottom="280" w:left="900" w:right="460"/>
        </w:sectPr>
      </w:pPr>
    </w:p>
    <w:p>
      <w:pPr>
        <w:spacing w:before="557"/>
        <w:ind w:left="2403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50.183998pt;margin-top:25.731884pt;width:689.75pt;height:.5pt;mso-position-horizontal-relative:page;mso-position-vertical-relative:paragraph;z-index:1408" coordorigin="1004,515" coordsize="13795,10">
            <v:group style="position:absolute;left:1008;top:519;width:1892;height:2" coordorigin="1008,519" coordsize="1892,2">
              <v:shape style="position:absolute;left:1008;top:519;width:1892;height:2" coordorigin="1008,519" coordsize="1892,0" path="m1008,519l2900,519e" filled="false" stroked="true" strokeweight=".48pt" strokecolor="#000000">
                <v:path arrowok="t"/>
              </v:shape>
            </v:group>
            <v:group style="position:absolute;left:2900;top:519;width:10;height:2" coordorigin="2900,519" coordsize="10,2">
              <v:shape style="position:absolute;left:2900;top:519;width:10;height:2" coordorigin="2900,519" coordsize="10,0" path="m2900,519l2910,519e" filled="false" stroked="true" strokeweight=".48pt" strokecolor="#000000">
                <v:path arrowok="t"/>
              </v:shape>
            </v:group>
            <v:group style="position:absolute;left:2910;top:519;width:2151;height:2" coordorigin="2910,519" coordsize="2151,2">
              <v:shape style="position:absolute;left:2910;top:519;width:2151;height:2" coordorigin="2910,519" coordsize="2151,0" path="m2910,519l5061,519e" filled="false" stroked="true" strokeweight=".48pt" strokecolor="#000000">
                <v:path arrowok="t"/>
              </v:shape>
            </v:group>
            <v:group style="position:absolute;left:5061;top:519;width:10;height:2" coordorigin="5061,519" coordsize="10,2">
              <v:shape style="position:absolute;left:5061;top:519;width:10;height:2" coordorigin="5061,519" coordsize="10,0" path="m5061,519l5070,519e" filled="false" stroked="true" strokeweight=".48pt" strokecolor="#000000">
                <v:path arrowok="t"/>
              </v:shape>
            </v:group>
            <v:group style="position:absolute;left:5070;top:519;width:1475;height:2" coordorigin="5070,519" coordsize="1475,2">
              <v:shape style="position:absolute;left:5070;top:519;width:1475;height:2" coordorigin="5070,519" coordsize="1475,0" path="m5070,519l6544,519e" filled="false" stroked="true" strokeweight=".48pt" strokecolor="#000000">
                <v:path arrowok="t"/>
              </v:shape>
            </v:group>
            <v:group style="position:absolute;left:6544;top:519;width:10;height:2" coordorigin="6544,519" coordsize="10,2">
              <v:shape style="position:absolute;left:6544;top:519;width:10;height:2" coordorigin="6544,519" coordsize="10,0" path="m6544,519l6554,519e" filled="false" stroked="true" strokeweight=".48pt" strokecolor="#000000">
                <v:path arrowok="t"/>
              </v:shape>
            </v:group>
            <v:group style="position:absolute;left:6554;top:519;width:1105;height:2" coordorigin="6554,519" coordsize="1105,2">
              <v:shape style="position:absolute;left:6554;top:519;width:1105;height:2" coordorigin="6554,519" coordsize="1105,0" path="m6554,519l7658,519e" filled="false" stroked="true" strokeweight=".48pt" strokecolor="#000000">
                <v:path arrowok="t"/>
              </v:shape>
            </v:group>
            <v:group style="position:absolute;left:7658;top:519;width:10;height:2" coordorigin="7658,519" coordsize="10,2">
              <v:shape style="position:absolute;left:7658;top:519;width:10;height:2" coordorigin="7658,519" coordsize="10,0" path="m7658,519l7668,519e" filled="false" stroked="true" strokeweight=".48pt" strokecolor="#000000">
                <v:path arrowok="t"/>
              </v:shape>
            </v:group>
            <v:group style="position:absolute;left:7668;top:519;width:975;height:2" coordorigin="7668,519" coordsize="975,2">
              <v:shape style="position:absolute;left:7668;top:519;width:975;height:2" coordorigin="7668,519" coordsize="975,0" path="m7668,519l8642,519e" filled="false" stroked="true" strokeweight=".48pt" strokecolor="#000000">
                <v:path arrowok="t"/>
              </v:shape>
            </v:group>
            <v:group style="position:absolute;left:8642;top:519;width:10;height:2" coordorigin="8642,519" coordsize="10,2">
              <v:shape style="position:absolute;left:8642;top:519;width:10;height:2" coordorigin="8642,519" coordsize="10,0" path="m8642,519l8652,519e" filled="false" stroked="true" strokeweight=".48pt" strokecolor="#000000">
                <v:path arrowok="t"/>
              </v:shape>
            </v:group>
            <v:group style="position:absolute;left:8652;top:519;width:3611;height:2" coordorigin="8652,519" coordsize="3611,2">
              <v:shape style="position:absolute;left:8652;top:519;width:3611;height:2" coordorigin="8652,519" coordsize="3611,0" path="m8652,519l12263,519e" filled="false" stroked="true" strokeweight=".48pt" strokecolor="#000000">
                <v:path arrowok="t"/>
              </v:shape>
            </v:group>
            <v:group style="position:absolute;left:12263;top:519;width:10;height:2" coordorigin="12263,519" coordsize="10,2">
              <v:shape style="position:absolute;left:12263;top:519;width:10;height:2" coordorigin="12263,519" coordsize="10,0" path="m12263,519l12272,519e" filled="false" stroked="true" strokeweight=".48pt" strokecolor="#000000">
                <v:path arrowok="t"/>
              </v:shape>
            </v:group>
            <v:group style="position:absolute;left:12272;top:519;width:2521;height:2" coordorigin="12272,519" coordsize="2521,2">
              <v:shape style="position:absolute;left:12272;top:519;width:2521;height:2" coordorigin="12272,519" coordsize="2521,0" path="m12272,519l14793,519e" filled="false" stroked="true" strokeweight=".48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b/>
          <w:spacing w:val="-2"/>
          <w:sz w:val="18"/>
        </w:rPr>
        <w:t>Unstandardized</w:t>
      </w:r>
      <w:r>
        <w:rPr>
          <w:rFonts w:ascii="Arial"/>
          <w:spacing w:val="-2"/>
          <w:sz w:val="18"/>
        </w:rPr>
      </w:r>
    </w:p>
    <w:p>
      <w:pPr>
        <w:spacing w:before="557"/>
        <w:ind w:left="535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spacing w:val="-2"/>
        </w:rPr>
        <w:br w:type="column"/>
      </w:r>
      <w:r>
        <w:rPr>
          <w:rFonts w:ascii="Arial"/>
          <w:b/>
          <w:spacing w:val="-2"/>
          <w:sz w:val="18"/>
        </w:rPr>
        <w:t>Standardized</w:t>
      </w:r>
      <w:r>
        <w:rPr>
          <w:rFonts w:ascii="Arial"/>
          <w:spacing w:val="-2"/>
          <w:sz w:val="18"/>
        </w:rPr>
      </w:r>
    </w:p>
    <w:p>
      <w:pPr>
        <w:spacing w:before="264"/>
        <w:ind w:left="948" w:right="0" w:firstLine="0"/>
        <w:jc w:val="left"/>
        <w:rPr>
          <w:rFonts w:ascii="Arial" w:hAnsi="Arial" w:cs="Arial" w:eastAsia="Arial"/>
          <w:sz w:val="12"/>
          <w:szCs w:val="12"/>
        </w:rPr>
      </w:pPr>
      <w:r>
        <w:rPr>
          <w:spacing w:val="-2"/>
        </w:rPr>
        <w:br w:type="column"/>
      </w:r>
      <w:r>
        <w:rPr>
          <w:rFonts w:ascii="Arial"/>
          <w:b/>
          <w:spacing w:val="-2"/>
          <w:sz w:val="18"/>
        </w:rPr>
        <w:t>Coefficients</w:t>
      </w:r>
      <w:r>
        <w:rPr>
          <w:rFonts w:ascii="Arial"/>
          <w:b/>
          <w:spacing w:val="-2"/>
          <w:position w:val="9"/>
          <w:sz w:val="12"/>
        </w:rPr>
        <w:t>a</w:t>
      </w:r>
      <w:r>
        <w:rPr>
          <w:rFonts w:ascii="Arial"/>
          <w:spacing w:val="-2"/>
          <w:sz w:val="12"/>
        </w:rPr>
      </w:r>
    </w:p>
    <w:p>
      <w:pPr>
        <w:spacing w:line="141" w:lineRule="exact" w:before="681"/>
        <w:ind w:left="1424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spacing w:val="-2"/>
        </w:rPr>
        <w:br w:type="column"/>
      </w:r>
      <w:r>
        <w:rPr>
          <w:rFonts w:ascii="Arial"/>
          <w:b/>
          <w:spacing w:val="-2"/>
          <w:sz w:val="18"/>
        </w:rPr>
        <w:t>Correlations</w:t>
      </w:r>
      <w:r>
        <w:rPr>
          <w:rFonts w:ascii="Arial"/>
          <w:spacing w:val="-2"/>
          <w:sz w:val="18"/>
        </w:rPr>
      </w:r>
    </w:p>
    <w:p>
      <w:pPr>
        <w:spacing w:before="557"/>
        <w:ind w:left="201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b/>
          <w:sz w:val="18"/>
        </w:rPr>
        <w:t>Collinearity</w:t>
      </w:r>
      <w:r>
        <w:rPr>
          <w:rFonts w:ascii="Arial"/>
          <w:sz w:val="18"/>
        </w:rPr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5840" w:h="12240" w:orient="landscape"/>
          <w:pgMar w:top="520" w:bottom="280" w:left="900" w:right="460"/>
          <w:cols w:num="5" w:equalWidth="0">
            <w:col w:w="3758" w:space="40"/>
            <w:col w:w="1670" w:space="40"/>
            <w:col w:w="2048" w:space="40"/>
            <w:col w:w="2491" w:space="40"/>
            <w:col w:w="4353"/>
          </w:cols>
        </w:sectPr>
      </w:pPr>
    </w:p>
    <w:p>
      <w:pPr>
        <w:spacing w:line="196" w:lineRule="exact" w:before="0"/>
        <w:ind w:left="1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0.424pt;margin-top:11.6pt;width:689.25pt;height:86.7pt;mso-position-horizontal-relative:page;mso-position-vertical-relative:paragraph;z-index:14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948"/>
                    <w:gridCol w:w="1005"/>
                    <w:gridCol w:w="1297"/>
                    <w:gridCol w:w="1194"/>
                    <w:gridCol w:w="1155"/>
                    <w:gridCol w:w="1089"/>
                    <w:gridCol w:w="1510"/>
                    <w:gridCol w:w="1101"/>
                    <w:gridCol w:w="911"/>
                    <w:gridCol w:w="1310"/>
                    <w:gridCol w:w="1263"/>
                  </w:tblGrid>
                  <w:tr>
                    <w:trPr>
                      <w:trHeight w:val="223" w:hRule="exact"/>
                    </w:trPr>
                    <w:tc>
                      <w:tcPr>
                        <w:tcW w:w="19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51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B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9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196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101"/>
                            <w:sz w:val="18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d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spacing w:val="-4"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9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344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B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101"/>
                            <w:sz w:val="18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8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51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24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Z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1"/>
                            <w:sz w:val="18"/>
                          </w:rPr>
                          <w:t>d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0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298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P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spacing w:val="-4"/>
                            <w:w w:val="101"/>
                            <w:sz w:val="18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101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l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91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32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P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rt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148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101"/>
                            <w:sz w:val="18"/>
                          </w:rPr>
                          <w:t>l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6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39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V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101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F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57" w:hRule="exact"/>
                    </w:trPr>
                    <w:tc>
                      <w:tcPr>
                        <w:tcW w:w="1948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7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(</w:t>
                        </w:r>
                        <w:r>
                          <w:rPr>
                            <w:rFonts w:ascii="Arial"/>
                            <w:spacing w:val="-2"/>
                            <w:w w:val="101"/>
                            <w:sz w:val="18"/>
                          </w:rPr>
                          <w:t>C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on</w:t>
                        </w:r>
                        <w:r>
                          <w:rPr>
                            <w:rFonts w:ascii="Arial"/>
                            <w:spacing w:val="-5"/>
                            <w:w w:val="101"/>
                            <w:sz w:val="18"/>
                          </w:rPr>
                          <w:t>s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t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an</w:t>
                        </w:r>
                        <w:r>
                          <w:rPr>
                            <w:rFonts w:ascii="Arial"/>
                            <w:spacing w:val="-3"/>
                            <w:w w:val="101"/>
                            <w:sz w:val="18"/>
                          </w:rPr>
                          <w:t>t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)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05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251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12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77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97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326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16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38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94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155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42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77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89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314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43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7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10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101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11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263" w:type="dxa"/>
                        <w:tcBorders>
                          <w:top w:val="single" w:sz="4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45" w:hRule="exact"/>
                    </w:trPr>
                    <w:tc>
                      <w:tcPr>
                        <w:tcW w:w="19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7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2"/>
                            <w:w w:val="101"/>
                            <w:sz w:val="18"/>
                          </w:rPr>
                          <w:t>Y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s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_a</w:t>
                        </w:r>
                        <w:r>
                          <w:rPr>
                            <w:rFonts w:ascii="Arial"/>
                            <w:spacing w:val="-3"/>
                            <w:w w:val="101"/>
                            <w:sz w:val="18"/>
                          </w:rPr>
                          <w:t>f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t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_ha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v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st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299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93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74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80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8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9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1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11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7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42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47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37" w:lineRule="exact"/>
                          <w:ind w:left="271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015</w:t>
                        </w:r>
                        <w:r>
                          <w:rPr>
                            <w:rFonts w:ascii="Arial"/>
                            <w:spacing w:val="-4"/>
                            <w:position w:val="9"/>
                            <w:sz w:val="12"/>
                          </w:rPr>
                          <w:t>**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151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47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2"/>
                            <w:w w:val="101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0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50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23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3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9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27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8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4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85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0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17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47" w:hRule="exact"/>
                    </w:trPr>
                    <w:tc>
                      <w:tcPr>
                        <w:tcW w:w="19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7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2"/>
                            <w:w w:val="101"/>
                            <w:sz w:val="18"/>
                          </w:rPr>
                          <w:t>N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u</w:t>
                        </w:r>
                        <w:r>
                          <w:rPr>
                            <w:rFonts w:ascii="Arial"/>
                            <w:spacing w:val="6"/>
                            <w:w w:val="101"/>
                            <w:sz w:val="18"/>
                          </w:rPr>
                          <w:t>m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b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o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f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_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b</w:t>
                        </w:r>
                        <w:r>
                          <w:rPr>
                            <w:rFonts w:ascii="Arial"/>
                            <w:spacing w:val="2"/>
                            <w:w w:val="101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dd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s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299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94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74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37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9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1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44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42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7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90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37" w:lineRule="exact"/>
                          <w:ind w:left="247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000</w:t>
                        </w:r>
                        <w:r>
                          <w:rPr>
                            <w:rFonts w:ascii="Arial"/>
                            <w:spacing w:val="-4"/>
                            <w:position w:val="9"/>
                            <w:sz w:val="12"/>
                          </w:rPr>
                          <w:t>*</w:t>
                        </w:r>
                        <w:r>
                          <w:rPr>
                            <w:rFonts w:ascii="Arial"/>
                            <w:spacing w:val="1"/>
                            <w:position w:val="9"/>
                            <w:sz w:val="12"/>
                          </w:rPr>
                          <w:t>*</w:t>
                        </w:r>
                        <w:r>
                          <w:rPr>
                            <w:rFonts w:ascii="Arial"/>
                            <w:position w:val="9"/>
                            <w:sz w:val="12"/>
                          </w:rPr>
                          <w:t>*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151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50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72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0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50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60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9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27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34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5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4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59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0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67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47" w:hRule="exact"/>
                    </w:trPr>
                    <w:tc>
                      <w:tcPr>
                        <w:tcW w:w="19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7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2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pp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spacing w:val="2"/>
                            <w:w w:val="101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s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d_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v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spacing w:val="-2"/>
                            <w:w w:val="101"/>
                            <w:sz w:val="18"/>
                          </w:rPr>
                          <w:t>l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u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299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02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374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5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9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31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54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5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42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71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exact"/>
                          <w:ind w:left="247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000</w:t>
                        </w:r>
                        <w:r>
                          <w:rPr>
                            <w:rFonts w:ascii="Arial"/>
                            <w:spacing w:val="-4"/>
                            <w:position w:val="9"/>
                            <w:sz w:val="12"/>
                          </w:rPr>
                          <w:t>*</w:t>
                        </w:r>
                        <w:r>
                          <w:rPr>
                            <w:rFonts w:ascii="Arial"/>
                            <w:spacing w:val="1"/>
                            <w:position w:val="9"/>
                            <w:sz w:val="12"/>
                          </w:rPr>
                          <w:t>*</w:t>
                        </w:r>
                        <w:r>
                          <w:rPr>
                            <w:rFonts w:ascii="Arial"/>
                            <w:position w:val="9"/>
                            <w:sz w:val="12"/>
                          </w:rPr>
                          <w:t>*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151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50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74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0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350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68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9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27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42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34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60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7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3"/>
                          <w:ind w:left="30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64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8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500" w:hRule="exact"/>
                    </w:trPr>
                    <w:tc>
                      <w:tcPr>
                        <w:tcW w:w="19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7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L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v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pacing w:val="2"/>
                            <w:w w:val="101"/>
                            <w:sz w:val="18"/>
                          </w:rPr>
                          <w:t>l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_o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f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_d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m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ag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0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270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5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3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9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74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95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9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286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9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8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37" w:lineRule="exact"/>
                          <w:ind w:left="290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058</w:t>
                        </w:r>
                        <w:r>
                          <w:rPr>
                            <w:rFonts w:ascii="Arial"/>
                            <w:position w:val="9"/>
                            <w:sz w:val="12"/>
                          </w:rPr>
                          <w:t>*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151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47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2"/>
                            <w:w w:val="101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3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0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2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8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3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91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248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6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8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4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45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6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30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19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Arial"/>
          <w:b/>
          <w:spacing w:val="-2"/>
          <w:sz w:val="18"/>
        </w:rPr>
        <w:t>Model</w:t>
      </w:r>
      <w:r>
        <w:rPr>
          <w:rFonts w:ascii="Arial"/>
          <w:spacing w:val="-2"/>
          <w:sz w:val="18"/>
        </w:rPr>
      </w:r>
    </w:p>
    <w:p>
      <w:pPr>
        <w:tabs>
          <w:tab w:pos="742" w:val="left" w:leader="none"/>
          <w:tab w:pos="2561" w:val="left" w:leader="none"/>
          <w:tab w:pos="3869" w:val="left" w:leader="none"/>
          <w:tab w:pos="4352" w:val="left" w:leader="none"/>
          <w:tab w:pos="5265" w:val="left" w:leader="none"/>
        </w:tabs>
        <w:spacing w:line="196" w:lineRule="exact" w:before="0"/>
        <w:ind w:left="1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b/>
          <w:w w:val="101"/>
          <w:position w:val="1"/>
          <w:sz w:val="18"/>
        </w:rPr>
      </w:r>
      <w:r>
        <w:rPr>
          <w:rFonts w:ascii="Arial"/>
          <w:b/>
          <w:w w:val="101"/>
          <w:position w:val="1"/>
          <w:sz w:val="18"/>
          <w:u w:val="single" w:color="000000"/>
        </w:rPr>
        <w:t> </w:t>
      </w:r>
      <w:r>
        <w:rPr>
          <w:rFonts w:ascii="Arial"/>
          <w:b/>
          <w:position w:val="1"/>
          <w:sz w:val="18"/>
          <w:u w:val="single" w:color="000000"/>
        </w:rPr>
        <w:tab/>
      </w:r>
      <w:r>
        <w:rPr>
          <w:rFonts w:ascii="Arial"/>
          <w:b/>
          <w:spacing w:val="-2"/>
          <w:w w:val="101"/>
          <w:position w:val="1"/>
          <w:sz w:val="18"/>
          <w:u w:val="single" w:color="000000"/>
        </w:rPr>
        <w:t>Co</w:t>
      </w:r>
      <w:r>
        <w:rPr>
          <w:rFonts w:ascii="Arial"/>
          <w:b/>
          <w:spacing w:val="-1"/>
          <w:w w:val="101"/>
          <w:position w:val="1"/>
          <w:sz w:val="18"/>
          <w:u w:val="single" w:color="000000"/>
        </w:rPr>
        <w:t>e</w:t>
      </w:r>
      <w:r>
        <w:rPr>
          <w:rFonts w:ascii="Arial"/>
          <w:b/>
          <w:spacing w:val="1"/>
          <w:w w:val="101"/>
          <w:position w:val="1"/>
          <w:sz w:val="18"/>
          <w:u w:val="single" w:color="000000"/>
        </w:rPr>
        <w:t>f</w:t>
      </w:r>
      <w:r>
        <w:rPr>
          <w:rFonts w:ascii="Arial"/>
          <w:b/>
          <w:spacing w:val="-4"/>
          <w:w w:val="101"/>
          <w:position w:val="1"/>
          <w:sz w:val="18"/>
          <w:u w:val="single" w:color="000000"/>
        </w:rPr>
        <w:t>f</w:t>
      </w:r>
      <w:r>
        <w:rPr>
          <w:rFonts w:ascii="Arial"/>
          <w:b/>
          <w:spacing w:val="1"/>
          <w:w w:val="101"/>
          <w:position w:val="1"/>
          <w:sz w:val="18"/>
          <w:u w:val="single" w:color="000000"/>
        </w:rPr>
        <w:t>i</w:t>
      </w:r>
      <w:r>
        <w:rPr>
          <w:rFonts w:ascii="Arial"/>
          <w:b/>
          <w:spacing w:val="-6"/>
          <w:w w:val="101"/>
          <w:position w:val="1"/>
          <w:sz w:val="18"/>
          <w:u w:val="single" w:color="000000"/>
        </w:rPr>
        <w:t>c</w:t>
      </w:r>
      <w:r>
        <w:rPr>
          <w:rFonts w:ascii="Arial"/>
          <w:b/>
          <w:spacing w:val="2"/>
          <w:w w:val="101"/>
          <w:position w:val="1"/>
          <w:sz w:val="18"/>
          <w:u w:val="single" w:color="000000"/>
        </w:rPr>
        <w:t>i</w:t>
      </w:r>
      <w:r>
        <w:rPr>
          <w:rFonts w:ascii="Arial"/>
          <w:b/>
          <w:spacing w:val="-1"/>
          <w:w w:val="101"/>
          <w:position w:val="1"/>
          <w:sz w:val="18"/>
          <w:u w:val="single" w:color="000000"/>
        </w:rPr>
        <w:t>e</w:t>
      </w:r>
      <w:r>
        <w:rPr>
          <w:rFonts w:ascii="Arial"/>
          <w:b/>
          <w:spacing w:val="-2"/>
          <w:w w:val="101"/>
          <w:position w:val="1"/>
          <w:sz w:val="18"/>
          <w:u w:val="single" w:color="000000"/>
        </w:rPr>
        <w:t>n</w:t>
      </w:r>
      <w:r>
        <w:rPr>
          <w:rFonts w:ascii="Arial"/>
          <w:b/>
          <w:spacing w:val="1"/>
          <w:w w:val="101"/>
          <w:position w:val="1"/>
          <w:sz w:val="18"/>
          <w:u w:val="single" w:color="000000"/>
        </w:rPr>
        <w:t>t</w:t>
      </w:r>
      <w:r>
        <w:rPr>
          <w:rFonts w:ascii="Arial"/>
          <w:b/>
          <w:w w:val="101"/>
          <w:position w:val="1"/>
          <w:sz w:val="18"/>
          <w:u w:val="single" w:color="000000"/>
        </w:rPr>
        <w:t>s </w:t>
      </w:r>
      <w:r>
        <w:rPr>
          <w:rFonts w:ascii="Arial"/>
          <w:b/>
          <w:position w:val="1"/>
          <w:sz w:val="18"/>
          <w:u w:val="single" w:color="000000"/>
        </w:rPr>
        <w:tab/>
      </w:r>
      <w:r>
        <w:rPr>
          <w:rFonts w:ascii="Arial"/>
          <w:b/>
          <w:spacing w:val="-2"/>
          <w:w w:val="101"/>
          <w:position w:val="1"/>
          <w:sz w:val="18"/>
          <w:u w:val="single" w:color="000000"/>
        </w:rPr>
        <w:t>Co</w:t>
      </w:r>
      <w:r>
        <w:rPr>
          <w:rFonts w:ascii="Arial"/>
          <w:b/>
          <w:spacing w:val="-1"/>
          <w:w w:val="101"/>
          <w:position w:val="1"/>
          <w:sz w:val="18"/>
          <w:u w:val="single" w:color="000000"/>
        </w:rPr>
        <w:t>e</w:t>
      </w:r>
      <w:r>
        <w:rPr>
          <w:rFonts w:ascii="Arial"/>
          <w:b/>
          <w:spacing w:val="1"/>
          <w:w w:val="101"/>
          <w:position w:val="1"/>
          <w:sz w:val="18"/>
          <w:u w:val="single" w:color="000000"/>
        </w:rPr>
        <w:t>f</w:t>
      </w:r>
      <w:r>
        <w:rPr>
          <w:rFonts w:ascii="Arial"/>
          <w:b/>
          <w:spacing w:val="-4"/>
          <w:w w:val="101"/>
          <w:position w:val="1"/>
          <w:sz w:val="18"/>
          <w:u w:val="single" w:color="000000"/>
        </w:rPr>
        <w:t>f</w:t>
      </w:r>
      <w:r>
        <w:rPr>
          <w:rFonts w:ascii="Arial"/>
          <w:b/>
          <w:spacing w:val="1"/>
          <w:w w:val="101"/>
          <w:position w:val="1"/>
          <w:sz w:val="18"/>
          <w:u w:val="single" w:color="000000"/>
        </w:rPr>
        <w:t>i</w:t>
      </w:r>
      <w:r>
        <w:rPr>
          <w:rFonts w:ascii="Arial"/>
          <w:b/>
          <w:spacing w:val="-6"/>
          <w:w w:val="101"/>
          <w:position w:val="1"/>
          <w:sz w:val="18"/>
          <w:u w:val="single" w:color="000000"/>
        </w:rPr>
        <w:t>c</w:t>
      </w:r>
      <w:r>
        <w:rPr>
          <w:rFonts w:ascii="Arial"/>
          <w:b/>
          <w:spacing w:val="1"/>
          <w:w w:val="101"/>
          <w:position w:val="1"/>
          <w:sz w:val="18"/>
          <w:u w:val="single" w:color="000000"/>
        </w:rPr>
        <w:t>i</w:t>
      </w:r>
      <w:r>
        <w:rPr>
          <w:rFonts w:ascii="Arial"/>
          <w:b/>
          <w:spacing w:val="-1"/>
          <w:w w:val="101"/>
          <w:position w:val="1"/>
          <w:sz w:val="18"/>
          <w:u w:val="single" w:color="000000"/>
        </w:rPr>
        <w:t>e</w:t>
      </w:r>
      <w:r>
        <w:rPr>
          <w:rFonts w:ascii="Arial"/>
          <w:b/>
          <w:spacing w:val="-2"/>
          <w:w w:val="101"/>
          <w:position w:val="1"/>
          <w:sz w:val="18"/>
          <w:u w:val="single" w:color="000000"/>
        </w:rPr>
        <w:t>n</w:t>
      </w:r>
      <w:r>
        <w:rPr>
          <w:rFonts w:ascii="Arial"/>
          <w:b/>
          <w:spacing w:val="1"/>
          <w:w w:val="101"/>
          <w:position w:val="1"/>
          <w:sz w:val="18"/>
          <w:u w:val="single" w:color="000000"/>
        </w:rPr>
        <w:t>t</w:t>
      </w:r>
      <w:r>
        <w:rPr>
          <w:rFonts w:ascii="Arial"/>
          <w:b/>
          <w:w w:val="101"/>
          <w:position w:val="1"/>
          <w:sz w:val="18"/>
          <w:u w:val="single" w:color="000000"/>
        </w:rPr>
        <w:t>s </w:t>
      </w:r>
      <w:r>
        <w:rPr>
          <w:rFonts w:ascii="Arial"/>
          <w:b/>
          <w:position w:val="1"/>
          <w:sz w:val="18"/>
          <w:u w:val="single" w:color="000000"/>
        </w:rPr>
        <w:tab/>
      </w:r>
      <w:r>
        <w:rPr>
          <w:rFonts w:ascii="Arial"/>
          <w:b/>
          <w:position w:val="1"/>
          <w:sz w:val="18"/>
        </w:rPr>
        <w:tab/>
      </w:r>
      <w:r>
        <w:rPr>
          <w:rFonts w:ascii="Arial"/>
          <w:b/>
          <w:w w:val="101"/>
          <w:sz w:val="18"/>
        </w:rPr>
        <w:t>t</w:t>
      </w:r>
      <w:r>
        <w:rPr>
          <w:rFonts w:ascii="Arial"/>
          <w:b/>
          <w:sz w:val="18"/>
        </w:rPr>
        <w:tab/>
      </w:r>
      <w:r>
        <w:rPr>
          <w:rFonts w:ascii="Arial"/>
          <w:b/>
          <w:spacing w:val="-2"/>
          <w:w w:val="101"/>
          <w:sz w:val="18"/>
        </w:rPr>
        <w:t>S</w:t>
      </w:r>
      <w:r>
        <w:rPr>
          <w:rFonts w:ascii="Arial"/>
          <w:b/>
          <w:spacing w:val="1"/>
          <w:w w:val="101"/>
          <w:sz w:val="18"/>
        </w:rPr>
        <w:t>i</w:t>
      </w:r>
      <w:r>
        <w:rPr>
          <w:rFonts w:ascii="Arial"/>
          <w:b/>
          <w:spacing w:val="-2"/>
          <w:w w:val="101"/>
          <w:sz w:val="18"/>
        </w:rPr>
        <w:t>g</w:t>
      </w:r>
      <w:r>
        <w:rPr>
          <w:rFonts w:ascii="Arial"/>
          <w:b/>
          <w:w w:val="101"/>
          <w:sz w:val="18"/>
        </w:rPr>
        <w:t>.</w:t>
      </w:r>
      <w:r>
        <w:rPr>
          <w:rFonts w:ascii="Arial"/>
          <w:sz w:val="18"/>
        </w:rPr>
      </w:r>
    </w:p>
    <w:p>
      <w:pPr>
        <w:tabs>
          <w:tab w:pos="4660" w:val="left" w:leader="none"/>
          <w:tab w:pos="6376" w:val="left" w:leader="none"/>
        </w:tabs>
        <w:spacing w:line="186" w:lineRule="exact" w:before="0"/>
        <w:ind w:left="1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b/>
          <w:w w:val="101"/>
          <w:sz w:val="18"/>
        </w:rPr>
      </w:r>
      <w:r>
        <w:rPr>
          <w:rFonts w:ascii="Arial"/>
          <w:b/>
          <w:w w:val="101"/>
          <w:sz w:val="18"/>
          <w:u w:val="single" w:color="000000"/>
        </w:rPr>
        <w:t> </w:t>
      </w:r>
      <w:r>
        <w:rPr>
          <w:rFonts w:ascii="Arial"/>
          <w:b/>
          <w:sz w:val="18"/>
          <w:u w:val="single" w:color="000000"/>
        </w:rPr>
        <w:tab/>
      </w:r>
      <w:r>
        <w:rPr>
          <w:rFonts w:ascii="Arial"/>
          <w:b/>
          <w:spacing w:val="-2"/>
          <w:w w:val="101"/>
          <w:sz w:val="18"/>
          <w:u w:val="single" w:color="000000"/>
        </w:rPr>
        <w:t>S</w:t>
      </w:r>
      <w:r>
        <w:rPr>
          <w:rFonts w:ascii="Arial"/>
          <w:b/>
          <w:spacing w:val="1"/>
          <w:w w:val="101"/>
          <w:sz w:val="18"/>
          <w:u w:val="single" w:color="000000"/>
        </w:rPr>
        <w:t>t</w:t>
      </w:r>
      <w:r>
        <w:rPr>
          <w:rFonts w:ascii="Arial"/>
          <w:b/>
          <w:spacing w:val="-1"/>
          <w:w w:val="101"/>
          <w:sz w:val="18"/>
          <w:u w:val="single" w:color="000000"/>
        </w:rPr>
        <w:t>a</w:t>
      </w:r>
      <w:r>
        <w:rPr>
          <w:rFonts w:ascii="Arial"/>
          <w:b/>
          <w:spacing w:val="-4"/>
          <w:w w:val="101"/>
          <w:sz w:val="18"/>
          <w:u w:val="single" w:color="000000"/>
        </w:rPr>
        <w:t>t</w:t>
      </w:r>
      <w:r>
        <w:rPr>
          <w:rFonts w:ascii="Arial"/>
          <w:b/>
          <w:spacing w:val="1"/>
          <w:w w:val="101"/>
          <w:sz w:val="18"/>
          <w:u w:val="single" w:color="000000"/>
        </w:rPr>
        <w:t>i</w:t>
      </w:r>
      <w:r>
        <w:rPr>
          <w:rFonts w:ascii="Arial"/>
          <w:b/>
          <w:spacing w:val="-1"/>
          <w:w w:val="101"/>
          <w:sz w:val="18"/>
          <w:u w:val="single" w:color="000000"/>
        </w:rPr>
        <w:t>s</w:t>
      </w:r>
      <w:r>
        <w:rPr>
          <w:rFonts w:ascii="Arial"/>
          <w:b/>
          <w:spacing w:val="-4"/>
          <w:w w:val="101"/>
          <w:sz w:val="18"/>
          <w:u w:val="single" w:color="000000"/>
        </w:rPr>
        <w:t>t</w:t>
      </w:r>
      <w:r>
        <w:rPr>
          <w:rFonts w:ascii="Arial"/>
          <w:b/>
          <w:spacing w:val="1"/>
          <w:w w:val="101"/>
          <w:sz w:val="18"/>
          <w:u w:val="single" w:color="000000"/>
        </w:rPr>
        <w:t>i</w:t>
      </w:r>
      <w:r>
        <w:rPr>
          <w:rFonts w:ascii="Arial"/>
          <w:b/>
          <w:spacing w:val="-1"/>
          <w:w w:val="101"/>
          <w:sz w:val="18"/>
          <w:u w:val="single" w:color="000000"/>
        </w:rPr>
        <w:t>c</w:t>
      </w:r>
      <w:r>
        <w:rPr>
          <w:rFonts w:ascii="Arial"/>
          <w:b/>
          <w:w w:val="101"/>
          <w:sz w:val="18"/>
          <w:u w:val="single" w:color="000000"/>
        </w:rPr>
        <w:t>s </w:t>
      </w:r>
      <w:r>
        <w:rPr>
          <w:rFonts w:ascii="Arial"/>
          <w:b/>
          <w:sz w:val="18"/>
          <w:u w:val="single" w:color="000000"/>
        </w:rPr>
        <w:tab/>
      </w:r>
      <w:r>
        <w:rPr>
          <w:rFonts w:ascii="Arial"/>
          <w:b/>
          <w:sz w:val="18"/>
        </w:rPr>
      </w:r>
      <w:r>
        <w:rPr>
          <w:rFonts w:ascii="Arial"/>
          <w:sz w:val="18"/>
        </w:rPr>
      </w:r>
    </w:p>
    <w:p>
      <w:pPr>
        <w:spacing w:after="0" w:line="186" w:lineRule="exact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5840" w:h="12240" w:orient="landscape"/>
          <w:pgMar w:top="520" w:bottom="280" w:left="900" w:right="460"/>
          <w:cols w:num="3" w:equalWidth="0">
            <w:col w:w="702" w:space="1118"/>
            <w:col w:w="5599" w:space="143"/>
            <w:col w:w="6918"/>
          </w:cols>
        </w:sect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12"/>
          <w:szCs w:val="12"/>
        </w:rPr>
      </w:pPr>
      <w:r>
        <w:rPr/>
        <w:pict>
          <v:group style="position:absolute;margin-left:50.063999pt;margin-top:12.527924pt;width:690pt;height:.75pt;mso-position-horizontal-relative:page;mso-position-vertical-relative:paragraph;z-index:1432" coordorigin="1001,251" coordsize="13800,15">
            <v:group style="position:absolute;left:1008;top:258;width:1397;height:2" coordorigin="1008,258" coordsize="1397,2">
              <v:shape style="position:absolute;left:1008;top:258;width:1397;height:2" coordorigin="1008,258" coordsize="1397,0" path="m1008,258l2405,258e" filled="false" stroked="true" strokeweight=".72pt" strokecolor="#000000">
                <v:path arrowok="t"/>
              </v:shape>
            </v:group>
            <v:group style="position:absolute;left:2405;top:258;width:15;height:2" coordorigin="2405,258" coordsize="15,2">
              <v:shape style="position:absolute;left:2405;top:258;width:15;height:2" coordorigin="2405,258" coordsize="15,0" path="m2405,258l2420,258e" filled="false" stroked="true" strokeweight=".72pt" strokecolor="#000000">
                <v:path arrowok="t"/>
              </v:shape>
            </v:group>
            <v:group style="position:absolute;left:2420;top:258;width:1393;height:2" coordorigin="2420,258" coordsize="1393,2">
              <v:shape style="position:absolute;left:2420;top:258;width:1393;height:2" coordorigin="2420,258" coordsize="1393,0" path="m2420,258l3812,258e" filled="false" stroked="true" strokeweight=".72pt" strokecolor="#000000">
                <v:path arrowok="t"/>
              </v:shape>
            </v:group>
            <v:group style="position:absolute;left:3812;top:258;width:15;height:2" coordorigin="3812,258" coordsize="15,2">
              <v:shape style="position:absolute;left:3812;top:258;width:15;height:2" coordorigin="3812,258" coordsize="15,0" path="m3812,258l3827,258e" filled="false" stroked="true" strokeweight=".72pt" strokecolor="#000000">
                <v:path arrowok="t"/>
              </v:shape>
            </v:group>
            <v:group style="position:absolute;left:3827;top:258;width:1412;height:2" coordorigin="3827,258" coordsize="1412,2">
              <v:shape style="position:absolute;left:3827;top:258;width:1412;height:2" coordorigin="3827,258" coordsize="1412,0" path="m3827,258l5238,258e" filled="false" stroked="true" strokeweight=".72pt" strokecolor="#000000">
                <v:path arrowok="t"/>
              </v:shape>
            </v:group>
            <v:group style="position:absolute;left:5238;top:258;width:15;height:2" coordorigin="5238,258" coordsize="15,2">
              <v:shape style="position:absolute;left:5238;top:258;width:15;height:2" coordorigin="5238,258" coordsize="15,0" path="m5238,258l5253,258e" filled="false" stroked="true" strokeweight=".72pt" strokecolor="#000000">
                <v:path arrowok="t"/>
              </v:shape>
            </v:group>
            <v:group style="position:absolute;left:5253;top:258;width:1225;height:2" coordorigin="5253,258" coordsize="1225,2">
              <v:shape style="position:absolute;left:5253;top:258;width:1225;height:2" coordorigin="5253,258" coordsize="1225,0" path="m5253,258l6477,258e" filled="false" stroked="true" strokeweight=".72pt" strokecolor="#000000">
                <v:path arrowok="t"/>
              </v:shape>
            </v:group>
            <v:group style="position:absolute;left:6477;top:258;width:15;height:2" coordorigin="6477,258" coordsize="15,2">
              <v:shape style="position:absolute;left:6477;top:258;width:15;height:2" coordorigin="6477,258" coordsize="15,0" path="m6477,258l6492,258e" filled="false" stroked="true" strokeweight=".72pt" strokecolor="#000000">
                <v:path arrowok="t"/>
              </v:shape>
            </v:group>
            <v:group style="position:absolute;left:6492;top:258;width:188;height:2" coordorigin="6492,258" coordsize="188,2">
              <v:shape style="position:absolute;left:6492;top:258;width:188;height:2" coordorigin="6492,258" coordsize="188,0" path="m6492,258l6679,258e" filled="false" stroked="true" strokeweight=".72pt" strokecolor="#000000">
                <v:path arrowok="t"/>
              </v:shape>
            </v:group>
            <v:group style="position:absolute;left:6679;top:258;width:15;height:2" coordorigin="6679,258" coordsize="15,2">
              <v:shape style="position:absolute;left:6679;top:258;width:15;height:2" coordorigin="6679,258" coordsize="15,0" path="m6679,258l6693,258e" filled="false" stroked="true" strokeweight=".72pt" strokecolor="#000000">
                <v:path arrowok="t"/>
              </v:shape>
            </v:group>
            <v:group style="position:absolute;left:6693;top:258;width:8100;height:2" coordorigin="6693,258" coordsize="8100,2">
              <v:shape style="position:absolute;left:6693;top:258;width:8100;height:2" coordorigin="6693,258" coordsize="8100,0" path="m6693,258l14793,258e" filled="false" stroked="true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b/>
          <w:spacing w:val="-2"/>
          <w:sz w:val="18"/>
        </w:rPr>
        <w:t>Collinearity</w:t>
      </w:r>
      <w:r>
        <w:rPr>
          <w:rFonts w:ascii="Arial"/>
          <w:b/>
          <w:spacing w:val="39"/>
          <w:sz w:val="18"/>
        </w:rPr>
        <w:t> </w:t>
      </w:r>
      <w:r>
        <w:rPr>
          <w:rFonts w:ascii="Arial"/>
          <w:b/>
          <w:spacing w:val="-2"/>
          <w:sz w:val="18"/>
        </w:rPr>
        <w:t>diagnostics</w:t>
      </w:r>
      <w:r>
        <w:rPr>
          <w:rFonts w:ascii="Arial"/>
          <w:b/>
          <w:spacing w:val="-2"/>
          <w:position w:val="9"/>
          <w:sz w:val="12"/>
        </w:rPr>
        <w:t>a</w:t>
      </w:r>
      <w:r>
        <w:rPr>
          <w:rFonts w:ascii="Arial"/>
          <w:spacing w:val="-2"/>
          <w:sz w:val="12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  <w:r>
        <w:rPr/>
        <w:br w:type="column"/>
      </w:r>
      <w:r>
        <w:rPr>
          <w:rFonts w:ascii="Arial"/>
          <w:b/>
          <w:sz w:val="1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spacing w:line="170" w:lineRule="exact" w:before="0"/>
        <w:ind w:left="839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323.5pt;margin-top:10.601892pt;width:416.55pt;height:.75pt;mso-position-horizontal-relative:page;mso-position-vertical-relative:paragraph;z-index:1456" coordorigin="6470,212" coordsize="8331,15">
            <v:group style="position:absolute;left:6477;top:219;width:202;height:2" coordorigin="6477,219" coordsize="202,2">
              <v:shape style="position:absolute;left:6477;top:219;width:202;height:2" coordorigin="6477,219" coordsize="202,0" path="m6477,219l6679,219e" filled="false" stroked="true" strokeweight=".72pt" strokecolor="#000000">
                <v:path arrowok="t"/>
              </v:shape>
            </v:group>
            <v:group style="position:absolute;left:6679;top:219;width:15;height:2" coordorigin="6679,219" coordsize="15,2">
              <v:shape style="position:absolute;left:6679;top:219;width:15;height:2" coordorigin="6679,219" coordsize="15,0" path="m6679,219l6693,219e" filled="false" stroked="true" strokeweight=".72pt" strokecolor="#000000">
                <v:path arrowok="t"/>
              </v:shape>
            </v:group>
            <v:group style="position:absolute;left:6693;top:219;width:1542;height:2" coordorigin="6693,219" coordsize="1542,2">
              <v:shape style="position:absolute;left:6693;top:219;width:1542;height:2" coordorigin="6693,219" coordsize="1542,0" path="m6693,219l8234,219e" filled="false" stroked="true" strokeweight=".72pt" strokecolor="#000000">
                <v:path arrowok="t"/>
              </v:shape>
            </v:group>
            <v:group style="position:absolute;left:8234;top:219;width:15;height:2" coordorigin="8234,219" coordsize="15,2">
              <v:shape style="position:absolute;left:8234;top:219;width:15;height:2" coordorigin="8234,219" coordsize="15,0" path="m8234,219l8249,219e" filled="false" stroked="true" strokeweight=".72pt" strokecolor="#000000">
                <v:path arrowok="t"/>
              </v:shape>
            </v:group>
            <v:group style="position:absolute;left:8249;top:219;width:1403;height:2" coordorigin="8249,219" coordsize="1403,2">
              <v:shape style="position:absolute;left:8249;top:219;width:1403;height:2" coordorigin="8249,219" coordsize="1403,0" path="m8249,219l9651,219e" filled="false" stroked="true" strokeweight=".72pt" strokecolor="#000000">
                <v:path arrowok="t"/>
              </v:shape>
            </v:group>
            <v:group style="position:absolute;left:9651;top:219;width:15;height:2" coordorigin="9651,219" coordsize="15,2">
              <v:shape style="position:absolute;left:9651;top:219;width:15;height:2" coordorigin="9651,219" coordsize="15,0" path="m9651,219l9665,219e" filled="false" stroked="true" strokeweight=".72pt" strokecolor="#000000">
                <v:path arrowok="t"/>
              </v:shape>
            </v:group>
            <v:group style="position:absolute;left:9665;top:219;width:1249;height:2" coordorigin="9665,219" coordsize="1249,2">
              <v:shape style="position:absolute;left:9665;top:219;width:1249;height:2" coordorigin="9665,219" coordsize="1249,0" path="m9665,219l10914,219e" filled="false" stroked="true" strokeweight=".72pt" strokecolor="#000000">
                <v:path arrowok="t"/>
              </v:shape>
            </v:group>
            <v:group style="position:absolute;left:10914;top:219;width:15;height:2" coordorigin="10914,219" coordsize="15,2">
              <v:shape style="position:absolute;left:10914;top:219;width:15;height:2" coordorigin="10914,219" coordsize="15,0" path="m10914,219l10928,219e" filled="false" stroked="true" strokeweight=".72pt" strokecolor="#000000">
                <v:path arrowok="t"/>
              </v:shape>
            </v:group>
            <v:group style="position:absolute;left:10928;top:219;width:1455;height:2" coordorigin="10928,219" coordsize="1455,2">
              <v:shape style="position:absolute;left:10928;top:219;width:1455;height:2" coordorigin="10928,219" coordsize="1455,0" path="m10928,219l12383,219e" filled="false" stroked="true" strokeweight=".72pt" strokecolor="#000000">
                <v:path arrowok="t"/>
              </v:shape>
            </v:group>
            <v:group style="position:absolute;left:12383;top:219;width:15;height:2" coordorigin="12383,219" coordsize="15,2">
              <v:shape style="position:absolute;left:12383;top:219;width:15;height:2" coordorigin="12383,219" coordsize="15,0" path="m12383,219l12397,219e" filled="false" stroked="true" strokeweight=".72pt" strokecolor="#000000">
                <v:path arrowok="t"/>
              </v:shape>
            </v:group>
            <v:group style="position:absolute;left:12397;top:219;width:2397;height:2" coordorigin="12397,219" coordsize="2397,2">
              <v:shape style="position:absolute;left:12397;top:219;width:2397;height:2" coordorigin="12397,219" coordsize="2397,0" path="m12397,219l14793,219e" filled="false" stroked="true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b/>
          <w:sz w:val="18"/>
        </w:rPr>
        <w:t>Variance</w:t>
      </w:r>
      <w:r>
        <w:rPr>
          <w:rFonts w:ascii="Arial"/>
          <w:b/>
          <w:spacing w:val="24"/>
          <w:sz w:val="18"/>
        </w:rPr>
        <w:t> </w:t>
      </w:r>
      <w:r>
        <w:rPr>
          <w:rFonts w:ascii="Arial"/>
          <w:b/>
          <w:spacing w:val="-3"/>
          <w:sz w:val="18"/>
        </w:rPr>
        <w:t>proportions</w:t>
      </w:r>
      <w:r>
        <w:rPr>
          <w:rFonts w:ascii="Arial"/>
          <w:spacing w:val="-3"/>
          <w:sz w:val="18"/>
        </w:rPr>
      </w:r>
    </w:p>
    <w:p>
      <w:pPr>
        <w:spacing w:after="0" w:line="170" w:lineRule="exact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5840" w:h="12240" w:orient="landscape"/>
          <w:pgMar w:top="520" w:bottom="280" w:left="900" w:right="460"/>
          <w:cols w:num="2" w:equalWidth="0">
            <w:col w:w="8054" w:space="40"/>
            <w:col w:w="6386"/>
          </w:cols>
        </w:sectPr>
      </w:pPr>
    </w:p>
    <w:p>
      <w:pPr>
        <w:tabs>
          <w:tab w:pos="1745" w:val="left" w:leader="none"/>
          <w:tab w:pos="3152" w:val="left" w:leader="none"/>
          <w:tab w:pos="4539" w:val="left" w:leader="none"/>
        </w:tabs>
        <w:spacing w:line="241" w:lineRule="exact" w:before="0"/>
        <w:ind w:left="545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2"/>
          <w:sz w:val="18"/>
        </w:rPr>
        <w:t>Model</w:t>
        <w:tab/>
      </w:r>
      <w:r>
        <w:rPr>
          <w:rFonts w:ascii="Arial"/>
          <w:b/>
          <w:spacing w:val="-1"/>
          <w:sz w:val="18"/>
        </w:rPr>
        <w:t>Dimension</w:t>
        <w:tab/>
      </w:r>
      <w:r>
        <w:rPr>
          <w:rFonts w:ascii="Arial"/>
          <w:b/>
          <w:spacing w:val="-2"/>
          <w:sz w:val="18"/>
        </w:rPr>
        <w:t>Eigenvalue</w:t>
        <w:tab/>
      </w:r>
      <w:r>
        <w:rPr>
          <w:rFonts w:ascii="Arial"/>
          <w:b/>
          <w:spacing w:val="-2"/>
          <w:position w:val="11"/>
          <w:sz w:val="18"/>
        </w:rPr>
        <w:t>Condition</w:t>
      </w:r>
      <w:r>
        <w:rPr>
          <w:rFonts w:ascii="Arial"/>
          <w:spacing w:val="-2"/>
          <w:sz w:val="18"/>
        </w:rPr>
      </w:r>
    </w:p>
    <w:p>
      <w:pPr>
        <w:spacing w:line="156" w:lineRule="exact" w:before="0"/>
        <w:ind w:left="0" w:right="185" w:firstLine="0"/>
        <w:jc w:val="right"/>
        <w:rPr>
          <w:rFonts w:ascii="Arial" w:hAnsi="Arial" w:cs="Arial" w:eastAsia="Arial"/>
          <w:sz w:val="18"/>
          <w:szCs w:val="18"/>
        </w:rPr>
      </w:pPr>
      <w:r>
        <w:rPr/>
        <w:pict>
          <v:shape style="position:absolute;margin-left:149.940002pt;margin-top:5.957261pt;width:589.75pt;height:73.3pt;mso-position-horizontal-relative:page;mso-position-vertical-relative:paragraph;z-index:15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30"/>
                    <w:gridCol w:w="1443"/>
                    <w:gridCol w:w="1539"/>
                    <w:gridCol w:w="1416"/>
                    <w:gridCol w:w="1483"/>
                    <w:gridCol w:w="1405"/>
                    <w:gridCol w:w="1551"/>
                    <w:gridCol w:w="2228"/>
                  </w:tblGrid>
                  <w:tr>
                    <w:trPr>
                      <w:trHeight w:val="198" w:hRule="exact"/>
                    </w:trPr>
                    <w:tc>
                      <w:tcPr>
                        <w:tcW w:w="5128" w:type="dxa"/>
                        <w:gridSpan w:val="4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48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6" w:lineRule="exact"/>
                          <w:ind w:left="491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h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ve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1"/>
                            <w:sz w:val="18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t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0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6" w:lineRule="exact"/>
                          <w:ind w:left="349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b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101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dd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spacing w:val="-4"/>
                            <w:w w:val="101"/>
                            <w:sz w:val="18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s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5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6" w:lineRule="exact"/>
                          <w:ind w:left="40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va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101"/>
                            <w:sz w:val="18"/>
                          </w:rPr>
                          <w:t>l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u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222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6" w:lineRule="exact"/>
                          <w:ind w:left="681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d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spacing w:val="5"/>
                            <w:w w:val="101"/>
                            <w:sz w:val="18"/>
                          </w:rPr>
                          <w:t>m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1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101"/>
                            <w:sz w:val="18"/>
                          </w:rPr>
                          <w:t>g</w:t>
                        </w:r>
                        <w:r>
                          <w:rPr>
                            <w:rFonts w:ascii="Arial"/>
                            <w:b/>
                            <w:w w:val="101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80" w:hRule="exact"/>
                    </w:trPr>
                    <w:tc>
                      <w:tcPr>
                        <w:tcW w:w="730" w:type="dxa"/>
                        <w:tcBorders>
                          <w:top w:val="single" w:sz="6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43" w:type="dxa"/>
                        <w:tcBorders>
                          <w:top w:val="single" w:sz="6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57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02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39" w:type="dxa"/>
                        <w:tcBorders>
                          <w:top w:val="single" w:sz="6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460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6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76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83" w:type="dxa"/>
                        <w:tcBorders>
                          <w:top w:val="single" w:sz="6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63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05" w:type="dxa"/>
                        <w:tcBorders>
                          <w:top w:val="single" w:sz="6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right="52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51" w:type="dxa"/>
                        <w:tcBorders>
                          <w:top w:val="single" w:sz="6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456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2228" w:type="dxa"/>
                        <w:tcBorders>
                          <w:top w:val="single" w:sz="6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right="18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47" w:hRule="exact"/>
                    </w:trPr>
                    <w:tc>
                      <w:tcPr>
                        <w:tcW w:w="73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4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57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54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3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460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71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76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8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63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5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right="52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456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22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right="18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47" w:hRule="exact"/>
                    </w:trPr>
                    <w:tc>
                      <w:tcPr>
                        <w:tcW w:w="73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3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4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57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37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3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460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3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29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76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8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63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3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right="52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456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22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right="18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45" w:hRule="exact"/>
                    </w:trPr>
                    <w:tc>
                      <w:tcPr>
                        <w:tcW w:w="73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4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57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06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3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460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8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09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76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8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63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right="52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7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456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22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right="18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5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34" w:hRule="exact"/>
                    </w:trPr>
                    <w:tc>
                      <w:tcPr>
                        <w:tcW w:w="73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5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4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57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3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41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33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56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5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76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8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635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0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right="52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55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456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9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222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right="18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0</w:t>
                        </w:r>
                        <w:r>
                          <w:rPr>
                            <w:rFonts w:ascii="Arial"/>
                            <w:spacing w:val="1"/>
                            <w:w w:val="101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"/>
                            <w:w w:val="101"/>
                            <w:sz w:val="18"/>
                          </w:rPr>
                          <w:t>3</w:t>
                        </w:r>
                        <w:r>
                          <w:rPr>
                            <w:rFonts w:ascii="Arial"/>
                            <w:w w:val="101"/>
                            <w:sz w:val="18"/>
                          </w:rPr>
                          <w:t>4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Arial"/>
          <w:b/>
          <w:spacing w:val="-1"/>
          <w:sz w:val="18"/>
        </w:rPr>
        <w:t>Index</w:t>
      </w:r>
      <w:r>
        <w:rPr>
          <w:rFonts w:ascii="Arial"/>
          <w:spacing w:val="-1"/>
          <w:sz w:val="18"/>
        </w:rPr>
      </w:r>
    </w:p>
    <w:p>
      <w:pPr>
        <w:spacing w:line="240" w:lineRule="auto" w:before="7"/>
        <w:rPr>
          <w:rFonts w:ascii="Arial" w:hAnsi="Arial" w:cs="Arial" w:eastAsia="Arial"/>
          <w:b/>
          <w:bCs/>
          <w:sz w:val="18"/>
          <w:szCs w:val="18"/>
        </w:rPr>
      </w:pPr>
      <w:r>
        <w:rPr/>
        <w:br w:type="column"/>
      </w:r>
      <w:r>
        <w:rPr>
          <w:rFonts w:ascii="Arial"/>
          <w:b/>
          <w:sz w:val="18"/>
        </w:rPr>
      </w:r>
    </w:p>
    <w:p>
      <w:pPr>
        <w:spacing w:before="0"/>
        <w:ind w:left="545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2"/>
          <w:sz w:val="18"/>
        </w:rPr>
        <w:t>(Constant)</w:t>
      </w:r>
      <w:r>
        <w:rPr>
          <w:rFonts w:ascii="Arial"/>
          <w:spacing w:val="-2"/>
          <w:sz w:val="18"/>
        </w:rPr>
      </w:r>
    </w:p>
    <w:p>
      <w:pPr>
        <w:spacing w:before="94"/>
        <w:ind w:left="545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b/>
          <w:sz w:val="18"/>
        </w:rPr>
        <w:t>Year</w:t>
      </w:r>
      <w:r>
        <w:rPr>
          <w:rFonts w:ascii="Arial"/>
          <w:b/>
          <w:spacing w:val="-1"/>
          <w:sz w:val="18"/>
        </w:rPr>
        <w:t> </w:t>
      </w:r>
      <w:r>
        <w:rPr>
          <w:rFonts w:ascii="Arial"/>
          <w:b/>
          <w:sz w:val="18"/>
        </w:rPr>
        <w:t>after</w:t>
      </w:r>
      <w:r>
        <w:rPr>
          <w:rFonts w:ascii="Arial"/>
          <w:sz w:val="18"/>
        </w:rPr>
      </w:r>
    </w:p>
    <w:p>
      <w:pPr>
        <w:spacing w:before="94"/>
        <w:ind w:left="437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b/>
          <w:sz w:val="18"/>
        </w:rPr>
        <w:t>Number</w:t>
      </w:r>
      <w:r>
        <w:rPr>
          <w:rFonts w:ascii="Arial"/>
          <w:b/>
          <w:spacing w:val="3"/>
          <w:sz w:val="18"/>
        </w:rPr>
        <w:t> </w:t>
      </w:r>
      <w:r>
        <w:rPr>
          <w:rFonts w:ascii="Arial"/>
          <w:b/>
          <w:spacing w:val="-3"/>
          <w:sz w:val="18"/>
        </w:rPr>
        <w:t>of</w:t>
      </w:r>
      <w:r>
        <w:rPr>
          <w:rFonts w:ascii="Arial"/>
          <w:spacing w:val="-3"/>
          <w:sz w:val="18"/>
        </w:rPr>
      </w:r>
    </w:p>
    <w:p>
      <w:pPr>
        <w:spacing w:before="94"/>
        <w:ind w:left="433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spacing w:val="-2"/>
        </w:rPr>
        <w:br w:type="column"/>
      </w:r>
      <w:r>
        <w:rPr>
          <w:rFonts w:ascii="Arial"/>
          <w:b/>
          <w:spacing w:val="-2"/>
          <w:sz w:val="18"/>
        </w:rPr>
        <w:t>Appraised</w:t>
      </w:r>
      <w:r>
        <w:rPr>
          <w:rFonts w:ascii="Arial"/>
          <w:spacing w:val="-2"/>
          <w:sz w:val="18"/>
        </w:rPr>
      </w:r>
    </w:p>
    <w:p>
      <w:pPr>
        <w:spacing w:before="94"/>
        <w:ind w:left="545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b/>
          <w:sz w:val="18"/>
        </w:rPr>
        <w:t>Level of</w:t>
      </w:r>
      <w:r>
        <w:rPr>
          <w:rFonts w:ascii="Arial"/>
          <w:sz w:val="18"/>
        </w:rPr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5840" w:h="12240" w:orient="landscape"/>
          <w:pgMar w:top="520" w:bottom="280" w:left="900" w:right="460"/>
          <w:cols w:num="6" w:equalWidth="0">
            <w:col w:w="5386" w:space="174"/>
            <w:col w:w="1446" w:space="71"/>
            <w:col w:w="1380" w:space="40"/>
            <w:col w:w="1338" w:space="40"/>
            <w:col w:w="1318" w:space="611"/>
            <w:col w:w="2676"/>
          </w:cols>
        </w:sectPr>
      </w:pPr>
    </w:p>
    <w:p>
      <w:pPr>
        <w:spacing w:line="240" w:lineRule="auto" w:before="3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spacing w:line="20" w:lineRule="exact"/>
        <w:ind w:left="10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40.9pt;height:.75pt;mso-position-horizontal-relative:char;mso-position-vertical-relative:line" coordorigin="0,0" coordsize="2818,15">
            <v:group style="position:absolute;left:7;top:7;width:1397;height:2" coordorigin="7,7" coordsize="1397,2">
              <v:shape style="position:absolute;left:7;top:7;width:1397;height:2" coordorigin="7,7" coordsize="1397,0" path="m7,7l1404,7e" filled="false" stroked="true" strokeweight=".72pt" strokecolor="#000000">
                <v:path arrowok="t"/>
              </v:shape>
            </v:group>
            <v:group style="position:absolute;left:1404;top:7;width:15;height:2" coordorigin="1404,7" coordsize="15,2">
              <v:shape style="position:absolute;left:1404;top:7;width:15;height:2" coordorigin="1404,7" coordsize="15,0" path="m1404,7l1418,7e" filled="false" stroked="true" strokeweight=".72pt" strokecolor="#000000">
                <v:path arrowok="t"/>
              </v:shape>
            </v:group>
            <v:group style="position:absolute;left:1418;top:7;width:1393;height:2" coordorigin="1418,7" coordsize="1393,2">
              <v:shape style="position:absolute;left:1418;top:7;width:1393;height:2" coordorigin="1418,7" coordsize="1393,0" path="m1418,7l2811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9"/>
          <w:szCs w:val="29"/>
        </w:rPr>
      </w:pPr>
    </w:p>
    <w:p>
      <w:pPr>
        <w:spacing w:before="79"/>
        <w:ind w:left="338" w:right="12794" w:hanging="48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sz w:val="18"/>
        </w:rPr>
        <w:t>Timber</w:t>
      </w:r>
      <w:r>
        <w:rPr>
          <w:rFonts w:ascii="Arial"/>
          <w:spacing w:val="10"/>
          <w:sz w:val="18"/>
        </w:rPr>
        <w:t> </w:t>
      </w:r>
      <w:r>
        <w:rPr>
          <w:rFonts w:ascii="Arial"/>
          <w:spacing w:val="-3"/>
          <w:sz w:val="18"/>
        </w:rPr>
        <w:t>sales</w:t>
      </w:r>
      <w:r>
        <w:rPr>
          <w:rFonts w:ascii="Arial"/>
          <w:w w:val="101"/>
          <w:sz w:val="18"/>
        </w:rPr>
        <w:t> </w:t>
      </w:r>
      <w:r>
        <w:rPr>
          <w:rFonts w:ascii="Arial"/>
          <w:sz w:val="18"/>
        </w:rPr>
        <w:t>price</w:t>
      </w:r>
      <w:r>
        <w:rPr>
          <w:rFonts w:ascii="Arial"/>
          <w:spacing w:val="-1"/>
          <w:sz w:val="18"/>
        </w:rPr>
        <w:t> </w:t>
      </w:r>
      <w:r>
        <w:rPr>
          <w:rFonts w:ascii="Arial"/>
          <w:sz w:val="18"/>
        </w:rPr>
        <w:t>model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sz w:val="14"/>
          <w:szCs w:val="14"/>
        </w:rPr>
      </w:pPr>
    </w:p>
    <w:p>
      <w:pPr>
        <w:spacing w:line="20" w:lineRule="exact"/>
        <w:ind w:left="10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40.9pt;height:.75pt;mso-position-horizontal-relative:char;mso-position-vertical-relative:line" coordorigin="0,0" coordsize="2818,15">
            <v:group style="position:absolute;left:7;top:7;width:1397;height:2" coordorigin="7,7" coordsize="1397,2">
              <v:shape style="position:absolute;left:7;top:7;width:1397;height:2" coordorigin="7,7" coordsize="1397,0" path="m7,7l1404,7e" filled="false" stroked="true" strokeweight=".72pt" strokecolor="#000000">
                <v:path arrowok="t"/>
              </v:shape>
            </v:group>
            <v:group style="position:absolute;left:1404;top:7;width:15;height:2" coordorigin="1404,7" coordsize="15,2">
              <v:shape style="position:absolute;left:1404;top:7;width:15;height:2" coordorigin="1404,7" coordsize="15,0" path="m1404,7l1418,7e" filled="false" stroked="true" strokeweight=".72pt" strokecolor="#000000">
                <v:path arrowok="t"/>
              </v:shape>
            </v:group>
            <v:group style="position:absolute;left:1418;top:7;width:1393;height:2" coordorigin="1418,7" coordsize="1393,2">
              <v:shape style="position:absolute;left:1418;top:7;width:1393;height:2" coordorigin="1418,7" coordsize="1393,0" path="m1418,7l2811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84"/>
        <w:ind w:left="108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*, **, ***= Significant </w:t>
      </w:r>
      <w:r>
        <w:rPr>
          <w:rFonts w:ascii="Arial"/>
          <w:spacing w:val="-4"/>
          <w:sz w:val="16"/>
        </w:rPr>
        <w:t>at </w:t>
      </w:r>
      <w:r>
        <w:rPr>
          <w:rFonts w:ascii="Arial"/>
          <w:sz w:val="16"/>
        </w:rPr>
        <w:t>10%, 5% and 1% levels</w:t>
      </w:r>
      <w:r>
        <w:rPr>
          <w:rFonts w:ascii="Arial"/>
          <w:spacing w:val="-21"/>
          <w:sz w:val="16"/>
        </w:rPr>
        <w:t> </w:t>
      </w:r>
      <w:r>
        <w:rPr>
          <w:rFonts w:ascii="Arial"/>
          <w:sz w:val="16"/>
        </w:rPr>
        <w:t>respectively.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5840" w:h="12240" w:orient="landscape"/>
          <w:pgMar w:top="520" w:bottom="280" w:left="900" w:right="460"/>
        </w:sectPr>
      </w:pPr>
    </w:p>
    <w:p>
      <w:pPr>
        <w:spacing w:line="240" w:lineRule="auto" w:before="7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240" w:lineRule="auto"/>
        <w:ind w:left="108" w:right="0"/>
        <w:jc w:val="left"/>
      </w:pPr>
      <w:r>
        <w:rPr/>
        <w:t>multicollinearity is probably not worrisome for</w:t>
      </w:r>
      <w:r>
        <w:rPr>
          <w:spacing w:val="9"/>
        </w:rPr>
        <w:t> </w:t>
      </w:r>
      <w:r>
        <w:rPr/>
        <w:t>our</w:t>
      </w:r>
      <w:r>
        <w:rPr>
          <w:w w:val="100"/>
        </w:rPr>
        <w:t> </w:t>
      </w:r>
      <w:r>
        <w:rPr/>
        <w:t>timber sales price</w:t>
      </w:r>
      <w:r>
        <w:rPr>
          <w:spacing w:val="-5"/>
        </w:rPr>
        <w:t> </w:t>
      </w:r>
      <w:r>
        <w:rPr/>
        <w:t>model.</w:t>
      </w:r>
    </w:p>
    <w:p>
      <w:pPr>
        <w:pStyle w:val="BodyText"/>
        <w:spacing w:line="240" w:lineRule="auto" w:before="1"/>
        <w:ind w:left="108" w:right="0" w:firstLine="182"/>
        <w:jc w:val="left"/>
      </w:pPr>
      <w:r>
        <w:rPr/>
        <w:t>In view of the results in Table 4, our</w:t>
      </w:r>
      <w:r>
        <w:rPr>
          <w:spacing w:val="51"/>
        </w:rPr>
        <w:t> </w:t>
      </w:r>
      <w:r>
        <w:rPr/>
        <w:t>proposed</w:t>
      </w:r>
      <w:r>
        <w:rPr>
          <w:w w:val="100"/>
        </w:rPr>
        <w:t> </w:t>
      </w:r>
      <w:r>
        <w:rPr/>
        <w:t>model appears to be able  to  explain,</w:t>
      </w:r>
      <w:r>
        <w:rPr>
          <w:spacing w:val="41"/>
        </w:rPr>
        <w:t> </w:t>
      </w:r>
      <w:r>
        <w:rPr/>
        <w:t>statistically</w:t>
      </w:r>
    </w:p>
    <w:p>
      <w:pPr>
        <w:spacing w:line="240" w:lineRule="auto" w:before="7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/>
          <w:sz w:val="19"/>
        </w:rPr>
      </w:r>
    </w:p>
    <w:p>
      <w:pPr>
        <w:pStyle w:val="BodyText"/>
        <w:spacing w:line="240" w:lineRule="auto"/>
        <w:ind w:left="108" w:right="0" w:firstLine="182"/>
        <w:jc w:val="both"/>
        <w:rPr>
          <w:rFonts w:ascii="Arial" w:hAnsi="Arial" w:cs="Arial" w:eastAsia="Arial"/>
        </w:rPr>
      </w:pPr>
      <w:r>
        <w:rPr/>
        <w:t>significantly,</w:t>
      </w:r>
      <w:r>
        <w:rPr>
          <w:spacing w:val="55"/>
        </w:rPr>
        <w:t> </w:t>
      </w:r>
      <w:r>
        <w:rPr/>
        <w:t>almost</w:t>
      </w:r>
      <w:r>
        <w:rPr>
          <w:spacing w:val="55"/>
        </w:rPr>
        <w:t> </w:t>
      </w:r>
      <w:r>
        <w:rPr/>
        <w:t>80% of</w:t>
      </w:r>
      <w:r>
        <w:rPr>
          <w:spacing w:val="55"/>
        </w:rPr>
        <w:t> </w:t>
      </w:r>
      <w:r>
        <w:rPr/>
        <w:t>the variation</w:t>
      </w:r>
      <w:r>
        <w:rPr>
          <w:spacing w:val="4"/>
        </w:rPr>
        <w:t> </w:t>
      </w:r>
      <w:r>
        <w:rPr/>
        <w:t>in</w:t>
      </w:r>
      <w:r>
        <w:rPr>
          <w:w w:val="100"/>
        </w:rPr>
        <w:t> </w:t>
      </w:r>
      <w:r>
        <w:rPr/>
        <w:t>sales prices of insect-damaged timber in the</w:t>
      </w:r>
      <w:r>
        <w:rPr>
          <w:spacing w:val="21"/>
        </w:rPr>
        <w:t> </w:t>
      </w:r>
      <w:r>
        <w:rPr/>
        <w:t>re-</w:t>
      </w:r>
      <w:r>
        <w:rPr>
          <w:w w:val="100"/>
        </w:rPr>
        <w:t> </w:t>
      </w:r>
      <w:r>
        <w:rPr/>
        <w:t>gion. Whe</w:t>
      </w:r>
      <w:r>
        <w:rPr>
          <w:rFonts w:ascii="Arial" w:hAnsi="Arial" w:cs="Arial" w:eastAsia="Arial"/>
        </w:rPr>
        <w:t>n </w:t>
      </w:r>
      <w:r>
        <w:rPr>
          <w:rFonts w:ascii="Arial" w:hAnsi="Arial" w:cs="Arial" w:eastAsia="Arial"/>
          <w:spacing w:val="-4"/>
        </w:rPr>
        <w:t>we </w:t>
      </w:r>
      <w:r>
        <w:rPr>
          <w:rFonts w:ascii="Arial" w:hAnsi="Arial" w:cs="Arial" w:eastAsia="Arial"/>
        </w:rPr>
        <w:t>look at the coefficients, “number</w:t>
      </w:r>
      <w:r>
        <w:rPr>
          <w:rFonts w:ascii="Arial" w:hAnsi="Arial" w:cs="Arial" w:eastAsia="Arial"/>
          <w:spacing w:val="28"/>
        </w:rPr>
        <w:t> </w:t>
      </w:r>
      <w:r>
        <w:rPr>
          <w:rFonts w:ascii="Arial" w:hAnsi="Arial" w:cs="Arial" w:eastAsia="Arial"/>
          <w:spacing w:val="-4"/>
        </w:rPr>
        <w:t>of</w:t>
      </w:r>
      <w:r>
        <w:rPr>
          <w:rFonts w:ascii="Arial" w:hAnsi="Arial" w:cs="Arial" w:eastAsia="Arial"/>
          <w:w w:val="100"/>
        </w:rPr>
        <w:t> </w:t>
      </w:r>
      <w:r>
        <w:rPr>
          <w:rFonts w:ascii="Arial" w:hAnsi="Arial" w:cs="Arial" w:eastAsia="Arial"/>
        </w:rPr>
        <w:t>buyers”, “appraised value” and “level  </w:t>
      </w:r>
      <w:r>
        <w:rPr>
          <w:rFonts w:ascii="Arial" w:hAnsi="Arial" w:cs="Arial" w:eastAsia="Arial"/>
          <w:spacing w:val="-4"/>
        </w:rPr>
        <w:t>of 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</w:rPr>
        <w:t>damage”</w:t>
      </w:r>
    </w:p>
    <w:p>
      <w:pPr>
        <w:spacing w:line="240" w:lineRule="auto" w:before="7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/>
          <w:sz w:val="19"/>
        </w:rPr>
      </w:r>
    </w:p>
    <w:p>
      <w:pPr>
        <w:pStyle w:val="BodyText"/>
        <w:spacing w:line="240" w:lineRule="auto"/>
        <w:ind w:left="108" w:right="106"/>
        <w:jc w:val="both"/>
      </w:pPr>
      <w:r>
        <w:rPr/>
        <w:t>have the expected signs. However, coefficient</w:t>
      </w:r>
      <w:r>
        <w:rPr>
          <w:spacing w:val="52"/>
        </w:rPr>
        <w:t> </w:t>
      </w:r>
      <w:r>
        <w:rPr>
          <w:spacing w:val="-4"/>
        </w:rPr>
        <w:t>of</w:t>
      </w:r>
      <w:r>
        <w:rPr>
          <w:w w:val="100"/>
        </w:rPr>
        <w:t> </w:t>
      </w:r>
      <w:r>
        <w:rPr>
          <w:rFonts w:ascii="Arial" w:hAnsi="Arial" w:cs="Arial" w:eastAsia="Arial"/>
        </w:rPr>
        <w:t>“year after harvest” turns out to have a sign</w:t>
      </w:r>
      <w:r>
        <w:rPr>
          <w:rFonts w:ascii="Arial" w:hAnsi="Arial" w:cs="Arial" w:eastAsia="Arial"/>
          <w:spacing w:val="54"/>
        </w:rPr>
        <w:t> </w:t>
      </w:r>
      <w:r>
        <w:rPr>
          <w:rFonts w:ascii="Arial" w:hAnsi="Arial" w:cs="Arial" w:eastAsia="Arial"/>
        </w:rPr>
        <w:t>oppo</w:t>
      </w:r>
      <w:r>
        <w:rPr/>
        <w:t>-</w:t>
      </w:r>
      <w:r>
        <w:rPr>
          <w:w w:val="100"/>
        </w:rPr>
        <w:t> </w:t>
      </w:r>
      <w:r>
        <w:rPr/>
        <w:t>site to </w:t>
      </w:r>
      <w:r>
        <w:rPr>
          <w:spacing w:val="-3"/>
        </w:rPr>
        <w:t>what </w:t>
      </w:r>
      <w:r>
        <w:rPr>
          <w:spacing w:val="-4"/>
        </w:rPr>
        <w:t>we </w:t>
      </w:r>
      <w:r>
        <w:rPr/>
        <w:t>expected. There may be</w:t>
      </w:r>
      <w:r>
        <w:rPr>
          <w:spacing w:val="19"/>
        </w:rPr>
        <w:t> </w:t>
      </w:r>
      <w:r>
        <w:rPr/>
        <w:t>some</w:t>
      </w:r>
      <w:r>
        <w:rPr>
          <w:w w:val="100"/>
        </w:rPr>
        <w:t> </w:t>
      </w:r>
      <w:r>
        <w:rPr/>
        <w:t>reasons of such a result. One </w:t>
      </w:r>
      <w:r>
        <w:rPr>
          <w:spacing w:val="-4"/>
        </w:rPr>
        <w:t>of </w:t>
      </w:r>
      <w:r>
        <w:rPr/>
        <w:t>these  reasons </w:t>
      </w:r>
      <w:r>
        <w:rPr>
          <w:spacing w:val="4"/>
        </w:rPr>
        <w:t> </w:t>
      </w:r>
      <w:r>
        <w:rPr/>
        <w:t>is</w:t>
      </w:r>
    </w:p>
    <w:p>
      <w:pPr>
        <w:spacing w:after="0" w:line="240" w:lineRule="auto"/>
        <w:jc w:val="both"/>
        <w:sectPr>
          <w:type w:val="continuous"/>
          <w:pgSz w:w="15840" w:h="12240" w:orient="landscape"/>
          <w:pgMar w:top="520" w:bottom="280" w:left="900" w:right="460"/>
          <w:cols w:num="3" w:equalWidth="0">
            <w:col w:w="4577" w:space="320"/>
            <w:col w:w="4579" w:space="318"/>
            <w:col w:w="4686"/>
          </w:cols>
        </w:sectPr>
      </w:pPr>
    </w:p>
    <w:p>
      <w:pPr>
        <w:pStyle w:val="BodyText"/>
        <w:tabs>
          <w:tab w:pos="1054" w:val="left" w:leader="none"/>
        </w:tabs>
        <w:spacing w:line="240" w:lineRule="auto" w:before="51"/>
        <w:ind w:right="2991"/>
        <w:jc w:val="left"/>
      </w:pPr>
      <w:r>
        <w:rPr>
          <w:spacing w:val="-2"/>
        </w:rPr>
        <w:t>8556</w:t>
        <w:tab/>
      </w:r>
      <w:r>
        <w:rPr>
          <w:spacing w:val="-1"/>
        </w:rPr>
        <w:t>Afr.</w:t>
      </w:r>
      <w:r>
        <w:rPr/>
        <w:t> J. </w:t>
      </w:r>
      <w:r>
        <w:rPr>
          <w:spacing w:val="-2"/>
        </w:rPr>
        <w:t>Bus.</w:t>
      </w:r>
      <w:r>
        <w:rPr>
          <w:spacing w:val="17"/>
        </w:rPr>
        <w:t> </w:t>
      </w:r>
      <w:r>
        <w:rPr>
          <w:spacing w:val="-2"/>
        </w:rPr>
        <w:t>Manage.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top="520" w:bottom="280" w:left="760" w:right="600"/>
        </w:sectPr>
      </w:pPr>
    </w:p>
    <w:p>
      <w:pPr>
        <w:spacing w:line="240" w:lineRule="auto" w:before="2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/>
        <w:ind w:right="2"/>
        <w:jc w:val="both"/>
      </w:pPr>
      <w:r>
        <w:rPr/>
        <w:t>that, although a part of roundwood harvested in 2006</w:t>
      </w:r>
      <w:r>
        <w:rPr>
          <w:spacing w:val="4"/>
        </w:rPr>
        <w:t> </w:t>
      </w:r>
      <w:r>
        <w:rPr/>
        <w:t>are</w:t>
      </w:r>
      <w:r>
        <w:rPr>
          <w:w w:val="100"/>
        </w:rPr>
        <w:t> </w:t>
      </w:r>
      <w:r>
        <w:rPr/>
        <w:t>sold in 2007, time period between the harvest and </w:t>
      </w:r>
      <w:r>
        <w:rPr>
          <w:spacing w:val="-2"/>
        </w:rPr>
        <w:t>the</w:t>
      </w:r>
      <w:r>
        <w:rPr>
          <w:w w:val="100"/>
        </w:rPr>
        <w:t> </w:t>
      </w:r>
      <w:r>
        <w:rPr/>
        <w:t>sale is short (five months at most). Even though all </w:t>
      </w:r>
      <w:r>
        <w:rPr>
          <w:spacing w:val="-4"/>
        </w:rPr>
        <w:t>of</w:t>
      </w:r>
      <w:r>
        <w:rPr>
          <w:spacing w:val="16"/>
        </w:rPr>
        <w:t> </w:t>
      </w:r>
      <w:r>
        <w:rPr>
          <w:spacing w:val="-2"/>
        </w:rPr>
        <w:t>the</w:t>
      </w:r>
      <w:r>
        <w:rPr>
          <w:w w:val="100"/>
        </w:rPr>
        <w:t> </w:t>
      </w:r>
      <w:r>
        <w:rPr/>
        <w:t>products harvested as a high quality timber in respect</w:t>
      </w:r>
      <w:r>
        <w:rPr>
          <w:spacing w:val="22"/>
        </w:rPr>
        <w:t> </w:t>
      </w:r>
      <w:r>
        <w:rPr/>
        <w:t>of</w:t>
      </w:r>
      <w:r>
        <w:rPr>
          <w:w w:val="100"/>
        </w:rPr>
        <w:t> </w:t>
      </w:r>
      <w:r>
        <w:rPr/>
        <w:t>diameter, length, etc. and sold in the year</w:t>
      </w:r>
      <w:r>
        <w:rPr>
          <w:spacing w:val="31"/>
        </w:rPr>
        <w:t> </w:t>
      </w:r>
      <w:r>
        <w:rPr/>
        <w:t>following</w:t>
      </w:r>
      <w:r>
        <w:rPr>
          <w:w w:val="100"/>
        </w:rPr>
        <w:t> </w:t>
      </w:r>
      <w:r>
        <w:rPr/>
        <w:t>harvest, due to intensive insect damage, these</w:t>
      </w:r>
      <w:r>
        <w:rPr>
          <w:spacing w:val="38"/>
        </w:rPr>
        <w:t> </w:t>
      </w:r>
      <w:r>
        <w:rPr/>
        <w:t>products</w:t>
      </w:r>
      <w:r>
        <w:rPr>
          <w:w w:val="100"/>
        </w:rPr>
        <w:t> </w:t>
      </w:r>
      <w:r>
        <w:rPr>
          <w:spacing w:val="-3"/>
        </w:rPr>
        <w:t>were </w:t>
      </w:r>
      <w:r>
        <w:rPr/>
        <w:t>put</w:t>
      </w:r>
      <w:r>
        <w:rPr>
          <w:spacing w:val="55"/>
        </w:rPr>
        <w:t> </w:t>
      </w:r>
      <w:r>
        <w:rPr/>
        <w:t>up for auction as a pulpwood with</w:t>
      </w:r>
      <w:r>
        <w:rPr>
          <w:spacing w:val="11"/>
        </w:rPr>
        <w:t> </w:t>
      </w:r>
      <w:r>
        <w:rPr/>
        <w:t>lesser</w:t>
      </w:r>
      <w:r>
        <w:rPr>
          <w:w w:val="100"/>
        </w:rPr>
        <w:t> </w:t>
      </w:r>
      <w:r>
        <w:rPr/>
        <w:t>appraised value than timber. Lastly, all </w:t>
      </w:r>
      <w:r>
        <w:rPr>
          <w:spacing w:val="-4"/>
        </w:rPr>
        <w:t>of </w:t>
      </w:r>
      <w:r>
        <w:rPr/>
        <w:t>the</w:t>
      </w:r>
      <w:r>
        <w:rPr>
          <w:spacing w:val="34"/>
        </w:rPr>
        <w:t> </w:t>
      </w:r>
      <w:r>
        <w:rPr/>
        <w:t>roundwood</w:t>
      </w:r>
      <w:r>
        <w:rPr>
          <w:w w:val="100"/>
        </w:rPr>
        <w:t> </w:t>
      </w:r>
      <w:r>
        <w:rPr/>
        <w:t>harvested in 2006 are sold in first months </w:t>
      </w:r>
      <w:r>
        <w:rPr>
          <w:spacing w:val="-4"/>
        </w:rPr>
        <w:t>of </w:t>
      </w:r>
      <w:r>
        <w:rPr/>
        <w:t>2007</w:t>
      </w:r>
      <w:r>
        <w:rPr>
          <w:spacing w:val="38"/>
        </w:rPr>
        <w:t> </w:t>
      </w:r>
      <w:r>
        <w:rPr>
          <w:spacing w:val="-3"/>
        </w:rPr>
        <w:t>when</w:t>
      </w:r>
      <w:r>
        <w:rPr>
          <w:w w:val="100"/>
        </w:rPr>
        <w:t> </w:t>
      </w:r>
      <w:r>
        <w:rPr/>
        <w:t>there was product shortage in market. The main</w:t>
      </w:r>
      <w:r>
        <w:rPr>
          <w:spacing w:val="12"/>
        </w:rPr>
        <w:t> </w:t>
      </w:r>
      <w:r>
        <w:rPr/>
        <w:t>reason</w:t>
      </w:r>
      <w:r>
        <w:rPr>
          <w:w w:val="100"/>
        </w:rPr>
        <w:t> </w:t>
      </w:r>
      <w:r>
        <w:rPr/>
        <w:t>for this shortage is related to preventing the</w:t>
      </w:r>
      <w:r>
        <w:rPr>
          <w:spacing w:val="32"/>
        </w:rPr>
        <w:t> </w:t>
      </w:r>
      <w:r>
        <w:rPr/>
        <w:t>production</w:t>
      </w:r>
      <w:r>
        <w:rPr>
          <w:w w:val="100"/>
        </w:rPr>
        <w:t> </w:t>
      </w:r>
      <w:r>
        <w:rPr/>
        <w:t>because of winter conditions. Consequently, while</w:t>
      </w:r>
      <w:r>
        <w:rPr>
          <w:spacing w:val="6"/>
        </w:rPr>
        <w:t> </w:t>
      </w:r>
      <w:r>
        <w:rPr>
          <w:spacing w:val="-2"/>
        </w:rPr>
        <w:t>the</w:t>
      </w:r>
      <w:r>
        <w:rPr>
          <w:w w:val="100"/>
        </w:rPr>
        <w:t> </w:t>
      </w:r>
      <w:r>
        <w:rPr/>
        <w:t>average number </w:t>
      </w:r>
      <w:r>
        <w:rPr>
          <w:spacing w:val="-4"/>
        </w:rPr>
        <w:t>of </w:t>
      </w:r>
      <w:r>
        <w:rPr/>
        <w:t>bidders in total 111 timber parties</w:t>
      </w:r>
      <w:r>
        <w:rPr>
          <w:spacing w:val="44"/>
        </w:rPr>
        <w:t> </w:t>
      </w:r>
      <w:r>
        <w:rPr/>
        <w:t>in</w:t>
      </w:r>
      <w:r>
        <w:rPr>
          <w:w w:val="100"/>
        </w:rPr>
        <w:t> </w:t>
      </w:r>
      <w:r>
        <w:rPr/>
        <w:t>two years period, was 7,3; for the</w:t>
      </w:r>
      <w:r>
        <w:rPr>
          <w:spacing w:val="-9"/>
        </w:rPr>
        <w:t> </w:t>
      </w:r>
      <w:r>
        <w:rPr/>
        <w:t>timber</w:t>
      </w:r>
    </w:p>
    <w:p>
      <w:pPr>
        <w:pStyle w:val="BodyText"/>
        <w:spacing w:line="240" w:lineRule="auto"/>
        <w:ind w:right="6"/>
        <w:jc w:val="both"/>
        <w:rPr>
          <w:rFonts w:ascii="Arial" w:hAnsi="Arial" w:cs="Arial" w:eastAsia="Arial"/>
        </w:rPr>
      </w:pPr>
      <w:r>
        <w:rPr/>
        <w:t>parties sold in the following year </w:t>
      </w:r>
      <w:r>
        <w:rPr>
          <w:spacing w:val="-4"/>
        </w:rPr>
        <w:t>of </w:t>
      </w:r>
      <w:r>
        <w:rPr/>
        <w:t>harvesting this</w:t>
      </w:r>
      <w:r>
        <w:rPr>
          <w:spacing w:val="28"/>
        </w:rPr>
        <w:t> </w:t>
      </w:r>
      <w:r>
        <w:rPr/>
        <w:t>figure</w:t>
      </w:r>
      <w:r>
        <w:rPr>
          <w:w w:val="100"/>
        </w:rPr>
        <w:t> </w:t>
      </w:r>
      <w:r>
        <w:rPr/>
        <w:t>was 8,5. Therefore, increase in demand depending</w:t>
      </w:r>
      <w:r>
        <w:rPr>
          <w:spacing w:val="20"/>
        </w:rPr>
        <w:t> </w:t>
      </w:r>
      <w:r>
        <w:rPr/>
        <w:t>on</w:t>
      </w:r>
      <w:r>
        <w:rPr>
          <w:w w:val="100"/>
        </w:rPr>
        <w:t> </w:t>
      </w:r>
      <w:r>
        <w:rPr/>
        <w:t>listed factors, might have led to the unexpected sign</w:t>
      </w:r>
      <w:r>
        <w:rPr>
          <w:spacing w:val="46"/>
        </w:rPr>
        <w:t> </w:t>
      </w:r>
      <w:r>
        <w:rPr/>
        <w:t>of</w:t>
      </w:r>
      <w:r>
        <w:rPr>
          <w:w w:val="100"/>
        </w:rPr>
        <w:t> </w:t>
      </w:r>
      <w:r>
        <w:rPr>
          <w:rFonts w:ascii="Arial" w:hAnsi="Arial" w:cs="Arial" w:eastAsia="Arial"/>
        </w:rPr>
        <w:t>coefficient </w:t>
      </w:r>
      <w:r>
        <w:rPr>
          <w:rFonts w:ascii="Arial" w:hAnsi="Arial" w:cs="Arial" w:eastAsia="Arial"/>
          <w:spacing w:val="-4"/>
        </w:rPr>
        <w:t>of </w:t>
      </w:r>
      <w:r>
        <w:rPr>
          <w:rFonts w:ascii="Arial" w:hAnsi="Arial" w:cs="Arial" w:eastAsia="Arial"/>
        </w:rPr>
        <w:t>“year after</w:t>
      </w:r>
      <w:r>
        <w:rPr>
          <w:rFonts w:ascii="Arial" w:hAnsi="Arial" w:cs="Arial" w:eastAsia="Arial"/>
          <w:spacing w:val="3"/>
        </w:rPr>
        <w:t> </w:t>
      </w:r>
      <w:r>
        <w:rPr>
          <w:rFonts w:ascii="Arial" w:hAnsi="Arial" w:cs="Arial" w:eastAsia="Arial"/>
        </w:rPr>
        <w:t>harvest”.</w:t>
      </w:r>
    </w:p>
    <w:p>
      <w:pPr>
        <w:pStyle w:val="BodyText"/>
        <w:spacing w:line="240" w:lineRule="auto"/>
        <w:ind w:right="0" w:firstLine="182"/>
        <w:jc w:val="both"/>
      </w:pPr>
      <w:r>
        <w:rPr/>
        <w:t>All coefficients can be discerned as statistically</w:t>
      </w:r>
      <w:r>
        <w:rPr>
          <w:spacing w:val="15"/>
        </w:rPr>
        <w:t> </w:t>
      </w:r>
      <w:r>
        <w:rPr/>
        <w:t>signi-</w:t>
      </w:r>
      <w:r>
        <w:rPr>
          <w:w w:val="100"/>
        </w:rPr>
        <w:t> </w:t>
      </w:r>
      <w:r>
        <w:rPr/>
        <w:t>ficant. Although the </w:t>
      </w:r>
      <w:r>
        <w:rPr>
          <w:rFonts w:ascii="Arial" w:hAnsi="Arial" w:cs="Arial" w:eastAsia="Arial"/>
        </w:rPr>
        <w:t>“</w:t>
      </w:r>
      <w:r>
        <w:rPr>
          <w:rFonts w:ascii="Arial" w:hAnsi="Arial" w:cs="Arial" w:eastAsia="Arial"/>
          <w:i/>
        </w:rPr>
        <w:t>appraised value</w:t>
      </w:r>
      <w:r>
        <w:rPr>
          <w:rFonts w:ascii="Arial" w:hAnsi="Arial" w:cs="Arial" w:eastAsia="Arial"/>
          <w:i/>
        </w:rPr>
        <w:t>” </w:t>
      </w:r>
      <w:r>
        <w:rPr/>
        <w:t>and </w:t>
      </w:r>
      <w:r>
        <w:rPr>
          <w:rFonts w:ascii="Arial" w:hAnsi="Arial" w:cs="Arial" w:eastAsia="Arial"/>
        </w:rPr>
        <w:t>“</w:t>
      </w:r>
      <w:r>
        <w:rPr>
          <w:rFonts w:ascii="Arial" w:hAnsi="Arial" w:cs="Arial" w:eastAsia="Arial"/>
          <w:i/>
        </w:rPr>
        <w:t>number</w:t>
      </w:r>
      <w:r>
        <w:rPr>
          <w:rFonts w:ascii="Arial" w:hAnsi="Arial" w:cs="Arial" w:eastAsia="Arial"/>
          <w:i/>
          <w:spacing w:val="38"/>
        </w:rPr>
        <w:t> </w:t>
      </w:r>
      <w:r>
        <w:rPr>
          <w:rFonts w:ascii="Arial" w:hAnsi="Arial" w:cs="Arial" w:eastAsia="Arial"/>
          <w:i/>
        </w:rPr>
        <w:t>of</w:t>
      </w:r>
      <w:r>
        <w:rPr>
          <w:rFonts w:ascii="Arial" w:hAnsi="Arial" w:cs="Arial" w:eastAsia="Arial"/>
          <w:i/>
          <w:w w:val="100"/>
        </w:rPr>
        <w:t> </w:t>
      </w:r>
      <w:r>
        <w:rPr>
          <w:rFonts w:ascii="Arial" w:hAnsi="Arial" w:cs="Arial" w:eastAsia="Arial"/>
          <w:i/>
        </w:rPr>
        <w:t>bidders</w:t>
      </w:r>
      <w:r>
        <w:rPr>
          <w:rFonts w:ascii="Arial" w:hAnsi="Arial" w:cs="Arial" w:eastAsia="Arial"/>
          <w:i/>
        </w:rPr>
        <w:t>” </w:t>
      </w:r>
      <w:r>
        <w:rPr/>
        <w:t>have the smallest unstandardized coefficients,</w:t>
      </w:r>
      <w:r>
        <w:rPr>
          <w:spacing w:val="15"/>
        </w:rPr>
        <w:t> </w:t>
      </w:r>
      <w:r>
        <w:rPr/>
        <w:t>it</w:t>
      </w:r>
      <w:r>
        <w:rPr>
          <w:w w:val="100"/>
        </w:rPr>
        <w:t> </w:t>
      </w:r>
      <w:r>
        <w:rPr/>
        <w:t>turns out that the highest absolute standardized</w:t>
      </w:r>
      <w:r>
        <w:rPr>
          <w:spacing w:val="55"/>
        </w:rPr>
        <w:t> </w:t>
      </w:r>
      <w:r>
        <w:rPr/>
        <w:t>coef-</w:t>
      </w:r>
      <w:r>
        <w:rPr>
          <w:w w:val="100"/>
        </w:rPr>
        <w:t> </w:t>
      </w:r>
      <w:r>
        <w:rPr/>
        <w:t>ficients are theirs, which can reasonably be</w:t>
      </w:r>
      <w:r>
        <w:rPr>
          <w:spacing w:val="-25"/>
        </w:rPr>
        <w:t> </w:t>
      </w:r>
      <w:r>
        <w:rPr/>
        <w:t>interpreted</w:t>
      </w:r>
      <w:r>
        <w:rPr>
          <w:w w:val="100"/>
        </w:rPr>
        <w:t> </w:t>
      </w:r>
      <w:r>
        <w:rPr/>
        <w:t>those two variables have more contribution than</w:t>
      </w:r>
      <w:r>
        <w:rPr>
          <w:spacing w:val="15"/>
        </w:rPr>
        <w:t> </w:t>
      </w:r>
      <w:r>
        <w:rPr>
          <w:spacing w:val="-2"/>
        </w:rPr>
        <w:t>the</w:t>
      </w:r>
      <w:r>
        <w:rPr>
          <w:w w:val="100"/>
        </w:rPr>
        <w:t> </w:t>
      </w:r>
      <w:r>
        <w:rPr/>
        <w:t>remaining two</w:t>
      </w:r>
      <w:r>
        <w:rPr>
          <w:spacing w:val="-6"/>
        </w:rPr>
        <w:t> </w:t>
      </w:r>
      <w:r>
        <w:rPr/>
        <w:t>variables.</w:t>
      </w:r>
    </w:p>
    <w:p>
      <w:pPr>
        <w:pStyle w:val="BodyText"/>
        <w:spacing w:line="240" w:lineRule="auto"/>
        <w:ind w:right="0" w:firstLine="182"/>
        <w:jc w:val="both"/>
      </w:pPr>
      <w:r>
        <w:rPr/>
        <w:t>Furthermore, collinearity statistics and</w:t>
      </w:r>
      <w:r>
        <w:rPr>
          <w:spacing w:val="41"/>
        </w:rPr>
        <w:t> </w:t>
      </w:r>
      <w:r>
        <w:rPr/>
        <w:t>diagnostic</w:t>
      </w:r>
      <w:r>
        <w:rPr>
          <w:w w:val="100"/>
        </w:rPr>
        <w:t> </w:t>
      </w:r>
      <w:r>
        <w:rPr/>
        <w:t>values appear to go </w:t>
      </w:r>
      <w:r>
        <w:rPr>
          <w:spacing w:val="-3"/>
        </w:rPr>
        <w:t>somewhat </w:t>
      </w:r>
      <w:r>
        <w:rPr/>
        <w:t>parallel with the </w:t>
      </w:r>
      <w:r>
        <w:rPr>
          <w:spacing w:val="46"/>
        </w:rPr>
        <w:t> </w:t>
      </w:r>
      <w:r>
        <w:rPr/>
        <w:t>findings</w:t>
      </w:r>
      <w:r>
        <w:rPr>
          <w:w w:val="100"/>
        </w:rPr>
        <w:t> </w:t>
      </w:r>
      <w:r>
        <w:rPr/>
        <w:t>of bivariate correlations </w:t>
      </w:r>
      <w:r>
        <w:rPr>
          <w:rFonts w:ascii="Arial" w:hAnsi="Arial" w:cs="Arial" w:eastAsia="Arial"/>
        </w:rPr>
        <w:t>and Klein’s rule of thumb</w:t>
      </w:r>
      <w:r>
        <w:rPr/>
        <w:t>.</w:t>
      </w:r>
      <w:r>
        <w:rPr>
          <w:spacing w:val="42"/>
        </w:rPr>
        <w:t> </w:t>
      </w:r>
      <w:r>
        <w:rPr/>
        <w:t>More</w:t>
      </w:r>
      <w:r>
        <w:rPr>
          <w:w w:val="100"/>
        </w:rPr>
        <w:t> </w:t>
      </w:r>
      <w:r>
        <w:rPr/>
        <w:t>precisely, I) all predictors (explanatory variables),</w:t>
      </w:r>
      <w:r>
        <w:rPr>
          <w:spacing w:val="11"/>
        </w:rPr>
        <w:t> </w:t>
      </w:r>
      <w:r>
        <w:rPr>
          <w:spacing w:val="-3"/>
        </w:rPr>
        <w:t>except</w:t>
      </w:r>
      <w:r>
        <w:rPr>
          <w:w w:val="100"/>
        </w:rPr>
        <w:t> </w:t>
      </w:r>
      <w:r>
        <w:rPr>
          <w:rFonts w:ascii="Arial" w:hAnsi="Arial" w:cs="Arial" w:eastAsia="Arial"/>
        </w:rPr>
        <w:t>“</w:t>
      </w:r>
      <w:r>
        <w:rPr>
          <w:rFonts w:ascii="Arial" w:hAnsi="Arial" w:cs="Arial" w:eastAsia="Arial"/>
          <w:i/>
        </w:rPr>
        <w:t>level of damage</w:t>
      </w:r>
      <w:r>
        <w:rPr>
          <w:rFonts w:ascii="Arial" w:hAnsi="Arial" w:cs="Arial" w:eastAsia="Arial"/>
          <w:i/>
        </w:rPr>
        <w:t>”</w:t>
      </w:r>
      <w:r>
        <w:rPr/>
        <w:t>, escape the suffering </w:t>
      </w:r>
      <w:r>
        <w:rPr>
          <w:spacing w:val="-4"/>
        </w:rPr>
        <w:t>of  </w:t>
      </w:r>
      <w:r>
        <w:rPr/>
        <w:t>sharp</w:t>
      </w:r>
      <w:r>
        <w:rPr>
          <w:spacing w:val="41"/>
        </w:rPr>
        <w:t> </w:t>
      </w:r>
      <w:r>
        <w:rPr>
          <w:spacing w:val="-3"/>
        </w:rPr>
        <w:t>drop</w:t>
      </w:r>
      <w:r>
        <w:rPr>
          <w:w w:val="100"/>
        </w:rPr>
        <w:t> </w:t>
      </w:r>
      <w:r>
        <w:rPr/>
        <w:t>from the zero-order to partial and part correlation; II)</w:t>
      </w:r>
      <w:r>
        <w:rPr>
          <w:spacing w:val="20"/>
        </w:rPr>
        <w:t> </w:t>
      </w:r>
      <w:r>
        <w:rPr/>
        <w:t>all</w:t>
      </w:r>
      <w:r>
        <w:rPr>
          <w:w w:val="100"/>
        </w:rPr>
        <w:t> </w:t>
      </w:r>
      <w:r>
        <w:rPr/>
        <w:t>predictors, including </w:t>
      </w:r>
      <w:r>
        <w:rPr>
          <w:rFonts w:ascii="Arial" w:hAnsi="Arial" w:cs="Arial" w:eastAsia="Arial"/>
        </w:rPr>
        <w:t>“</w:t>
      </w:r>
      <w:r>
        <w:rPr>
          <w:rFonts w:ascii="Arial" w:hAnsi="Arial" w:cs="Arial" w:eastAsia="Arial"/>
          <w:i/>
        </w:rPr>
        <w:t>level of damage</w:t>
      </w:r>
      <w:r>
        <w:rPr>
          <w:rFonts w:ascii="Arial" w:hAnsi="Arial" w:cs="Arial" w:eastAsia="Arial"/>
          <w:i/>
        </w:rPr>
        <w:t>”</w:t>
      </w:r>
      <w:r>
        <w:rPr/>
        <w:t>, have rather</w:t>
      </w:r>
      <w:r>
        <w:rPr>
          <w:spacing w:val="5"/>
        </w:rPr>
        <w:t> </w:t>
      </w:r>
      <w:r>
        <w:rPr>
          <w:spacing w:val="-3"/>
        </w:rPr>
        <w:t>high</w:t>
      </w:r>
      <w:r>
        <w:rPr>
          <w:w w:val="100"/>
        </w:rPr>
        <w:t> </w:t>
      </w:r>
      <w:r>
        <w:rPr/>
        <w:t>tolerances, that is, the percentage </w:t>
      </w:r>
      <w:r>
        <w:rPr>
          <w:spacing w:val="-4"/>
        </w:rPr>
        <w:t>of </w:t>
      </w:r>
      <w:r>
        <w:rPr/>
        <w:t>the variance in</w:t>
      </w:r>
      <w:r>
        <w:rPr>
          <w:spacing w:val="18"/>
        </w:rPr>
        <w:t> </w:t>
      </w:r>
      <w:r>
        <w:rPr/>
        <w:t>a</w:t>
      </w:r>
      <w:r>
        <w:rPr>
          <w:w w:val="100"/>
        </w:rPr>
        <w:t> </w:t>
      </w:r>
      <w:r>
        <w:rPr/>
        <w:t>given predictor that cannot be explained by the</w:t>
      </w:r>
      <w:r>
        <w:rPr>
          <w:spacing w:val="50"/>
        </w:rPr>
        <w:t> </w:t>
      </w:r>
      <w:r>
        <w:rPr/>
        <w:t>other</w:t>
      </w:r>
      <w:r>
        <w:rPr>
          <w:w w:val="100"/>
        </w:rPr>
        <w:t> </w:t>
      </w:r>
      <w:r>
        <w:rPr/>
        <w:t>predictors; III) high tolerances are reflected by</w:t>
      </w:r>
      <w:r>
        <w:rPr>
          <w:spacing w:val="-2"/>
        </w:rPr>
        <w:t> </w:t>
      </w:r>
      <w:r>
        <w:rPr/>
        <w:t>reasonably</w:t>
      </w:r>
      <w:r>
        <w:rPr>
          <w:w w:val="100"/>
        </w:rPr>
        <w:t> </w:t>
      </w:r>
      <w:r>
        <w:rPr/>
        <w:t>low variance inflation factors-</w:t>
      </w:r>
      <w:r>
        <w:rPr>
          <w:rFonts w:ascii="Arial" w:hAnsi="Arial" w:cs="Arial" w:eastAsia="Arial"/>
        </w:rPr>
        <w:t>VIF’s (“</w:t>
      </w:r>
      <w:r>
        <w:rPr>
          <w:rFonts w:ascii="Arial" w:hAnsi="Arial" w:cs="Arial" w:eastAsia="Arial"/>
          <w:i/>
        </w:rPr>
        <w:t>level of damage</w:t>
      </w:r>
      <w:r>
        <w:rPr>
          <w:rFonts w:ascii="Arial" w:hAnsi="Arial" w:cs="Arial" w:eastAsia="Arial"/>
          <w:i/>
        </w:rPr>
        <w:t>”</w:t>
      </w:r>
      <w:r>
        <w:rPr>
          <w:rFonts w:ascii="Arial" w:hAnsi="Arial" w:cs="Arial" w:eastAsia="Arial"/>
          <w:i/>
          <w:spacing w:val="18"/>
        </w:rPr>
        <w:t> </w:t>
      </w:r>
      <w:r>
        <w:rPr/>
        <w:t>has</w:t>
      </w:r>
      <w:r>
        <w:rPr>
          <w:w w:val="100"/>
        </w:rPr>
        <w:t> </w:t>
      </w:r>
      <w:r>
        <w:rPr/>
        <w:t>a</w:t>
      </w:r>
      <w:r>
        <w:rPr>
          <w:spacing w:val="33"/>
        </w:rPr>
        <w:t> </w:t>
      </w:r>
      <w:r>
        <w:rPr/>
        <w:t>VIF</w:t>
      </w:r>
      <w:r>
        <w:rPr>
          <w:spacing w:val="36"/>
        </w:rPr>
        <w:t> </w:t>
      </w:r>
      <w:r>
        <w:rPr/>
        <w:t>just</w:t>
      </w:r>
      <w:r>
        <w:rPr>
          <w:spacing w:val="36"/>
        </w:rPr>
        <w:t> </w:t>
      </w:r>
      <w:r>
        <w:rPr/>
        <w:t>over</w:t>
      </w:r>
      <w:r>
        <w:rPr>
          <w:spacing w:val="34"/>
        </w:rPr>
        <w:t> </w:t>
      </w:r>
      <w:r>
        <w:rPr/>
        <w:t>the</w:t>
      </w:r>
      <w:r>
        <w:rPr>
          <w:spacing w:val="33"/>
        </w:rPr>
        <w:t> </w:t>
      </w:r>
      <w:r>
        <w:rPr/>
        <w:t>practical</w:t>
      </w:r>
      <w:r>
        <w:rPr>
          <w:spacing w:val="37"/>
        </w:rPr>
        <w:t> </w:t>
      </w:r>
      <w:r>
        <w:rPr/>
        <w:t>threshold</w:t>
      </w:r>
      <w:r>
        <w:rPr>
          <w:spacing w:val="33"/>
        </w:rPr>
        <w:t> </w:t>
      </w:r>
      <w:r>
        <w:rPr/>
        <w:t>of</w:t>
      </w:r>
      <w:r>
        <w:rPr>
          <w:spacing w:val="40"/>
        </w:rPr>
        <w:t> </w:t>
      </w:r>
      <w:r>
        <w:rPr/>
        <w:t>2);</w:t>
      </w:r>
      <w:r>
        <w:rPr>
          <w:spacing w:val="39"/>
        </w:rPr>
        <w:t> </w:t>
      </w:r>
      <w:r>
        <w:rPr/>
        <w:t>IV)</w:t>
      </w:r>
      <w:r>
        <w:rPr>
          <w:spacing w:val="35"/>
        </w:rPr>
        <w:t> </w:t>
      </w:r>
      <w:r>
        <w:rPr/>
        <w:t>eigen-</w:t>
      </w:r>
      <w:r>
        <w:rPr>
          <w:w w:val="100"/>
        </w:rPr>
        <w:t> </w:t>
      </w:r>
      <w:r>
        <w:rPr/>
        <w:t>value for </w:t>
      </w:r>
      <w:r>
        <w:rPr>
          <w:rFonts w:ascii="Arial" w:hAnsi="Arial" w:cs="Arial" w:eastAsia="Arial"/>
        </w:rPr>
        <w:t>“</w:t>
      </w:r>
      <w:r>
        <w:rPr>
          <w:rFonts w:ascii="Arial" w:hAnsi="Arial" w:cs="Arial" w:eastAsia="Arial"/>
          <w:i/>
        </w:rPr>
        <w:t>level of </w:t>
      </w:r>
      <w:r>
        <w:rPr>
          <w:rFonts w:ascii="Arial" w:hAnsi="Arial" w:cs="Arial" w:eastAsia="Arial"/>
          <w:i/>
        </w:rPr>
        <w:t>damage” </w:t>
      </w:r>
      <w:r>
        <w:rPr/>
        <w:t>is quite close to zero</w:t>
      </w:r>
      <w:r>
        <w:rPr>
          <w:spacing w:val="13"/>
        </w:rPr>
        <w:t> </w:t>
      </w:r>
      <w:r>
        <w:rPr/>
        <w:t>that</w:t>
      </w:r>
      <w:r>
        <w:rPr>
          <w:w w:val="100"/>
        </w:rPr>
        <w:t> </w:t>
      </w:r>
      <w:r>
        <w:rPr/>
        <w:t>results in a high (higher than 30) condition index that</w:t>
      </w:r>
      <w:r>
        <w:rPr>
          <w:spacing w:val="20"/>
        </w:rPr>
        <w:t> </w:t>
      </w:r>
      <w:r>
        <w:rPr>
          <w:spacing w:val="-3"/>
        </w:rPr>
        <w:t>can</w:t>
      </w:r>
      <w:r>
        <w:rPr>
          <w:w w:val="100"/>
        </w:rPr>
        <w:t> </w:t>
      </w:r>
      <w:r>
        <w:rPr/>
        <w:t>be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sign</w:t>
      </w:r>
      <w:r>
        <w:rPr>
          <w:spacing w:val="28"/>
        </w:rPr>
        <w:t> </w:t>
      </w:r>
      <w:r>
        <w:rPr/>
        <w:t>of</w:t>
      </w:r>
      <w:r>
        <w:rPr>
          <w:spacing w:val="36"/>
        </w:rPr>
        <w:t> </w:t>
      </w:r>
      <w:r>
        <w:rPr/>
        <w:t>strong</w:t>
      </w:r>
      <w:r>
        <w:rPr>
          <w:spacing w:val="28"/>
        </w:rPr>
        <w:t> </w:t>
      </w:r>
      <w:r>
        <w:rPr/>
        <w:t>collinearity,</w:t>
      </w:r>
      <w:r>
        <w:rPr>
          <w:spacing w:val="31"/>
        </w:rPr>
        <w:t> </w:t>
      </w:r>
      <w:r>
        <w:rPr/>
        <w:t>yet</w:t>
      </w:r>
      <w:r>
        <w:rPr>
          <w:spacing w:val="26"/>
        </w:rPr>
        <w:t> </w:t>
      </w:r>
      <w:r>
        <w:rPr/>
        <w:t>the</w:t>
      </w:r>
      <w:r>
        <w:rPr>
          <w:spacing w:val="28"/>
        </w:rPr>
        <w:t> </w:t>
      </w:r>
      <w:r>
        <w:rPr/>
        <w:t>remaining</w:t>
      </w:r>
      <w:r>
        <w:rPr>
          <w:spacing w:val="18"/>
        </w:rPr>
        <w:t> </w:t>
      </w:r>
      <w:r>
        <w:rPr/>
        <w:t>varia-</w:t>
      </w:r>
      <w:r>
        <w:rPr>
          <w:w w:val="100"/>
        </w:rPr>
        <w:t> </w:t>
      </w:r>
      <w:r>
        <w:rPr/>
        <w:t>bles appear to have higher eigenvalues, hence</w:t>
      </w:r>
      <w:r>
        <w:rPr>
          <w:spacing w:val="22"/>
        </w:rPr>
        <w:t> </w:t>
      </w:r>
      <w:r>
        <w:rPr/>
        <w:t>lower</w:t>
      </w:r>
      <w:r>
        <w:rPr>
          <w:w w:val="100"/>
        </w:rPr>
        <w:t> </w:t>
      </w:r>
      <w:r>
        <w:rPr/>
        <w:t>condition indices. From these findings, it may arguably</w:t>
      </w:r>
      <w:r>
        <w:rPr>
          <w:spacing w:val="2"/>
        </w:rPr>
        <w:t> </w:t>
      </w:r>
      <w:r>
        <w:rPr/>
        <w:t>be</w:t>
      </w:r>
      <w:r>
        <w:rPr>
          <w:w w:val="100"/>
        </w:rPr>
        <w:t> </w:t>
      </w:r>
      <w:r>
        <w:rPr>
          <w:rFonts w:ascii="Arial" w:hAnsi="Arial" w:cs="Arial" w:eastAsia="Arial"/>
        </w:rPr>
        <w:t>asserted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that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albeit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the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variable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“</w:t>
      </w:r>
      <w:r>
        <w:rPr>
          <w:rFonts w:ascii="Arial" w:hAnsi="Arial" w:cs="Arial" w:eastAsia="Arial"/>
          <w:i/>
        </w:rPr>
        <w:t>level</w:t>
      </w:r>
      <w:r>
        <w:rPr>
          <w:rFonts w:ascii="Arial" w:hAnsi="Arial" w:cs="Arial" w:eastAsia="Arial"/>
          <w:i/>
          <w:spacing w:val="55"/>
        </w:rPr>
        <w:t> </w:t>
      </w:r>
      <w:r>
        <w:rPr>
          <w:rFonts w:ascii="Arial" w:hAnsi="Arial" w:cs="Arial" w:eastAsia="Arial"/>
          <w:i/>
        </w:rPr>
        <w:t>of</w:t>
      </w:r>
      <w:r>
        <w:rPr>
          <w:rFonts w:ascii="Arial" w:hAnsi="Arial" w:cs="Arial" w:eastAsia="Arial"/>
          <w:i/>
          <w:spacing w:val="50"/>
        </w:rPr>
        <w:t> </w:t>
      </w:r>
      <w:r>
        <w:rPr>
          <w:rFonts w:ascii="Arial" w:hAnsi="Arial" w:cs="Arial" w:eastAsia="Arial"/>
          <w:i/>
        </w:rPr>
        <w:t>damage”</w:t>
      </w:r>
      <w:r>
        <w:rPr>
          <w:rFonts w:ascii="Arial" w:hAnsi="Arial" w:cs="Arial" w:eastAsia="Arial"/>
          <w:i/>
          <w:w w:val="100"/>
        </w:rPr>
        <w:t> </w:t>
      </w:r>
      <w:r>
        <w:rPr/>
        <w:t>probably suffers a considerable degree of collinearity,</w:t>
      </w:r>
      <w:r>
        <w:rPr>
          <w:spacing w:val="42"/>
        </w:rPr>
        <w:t> </w:t>
      </w:r>
      <w:r>
        <w:rPr/>
        <w:t>it</w:t>
      </w:r>
      <w:r>
        <w:rPr>
          <w:w w:val="100"/>
        </w:rPr>
        <w:t> </w:t>
      </w:r>
      <w:r>
        <w:rPr/>
        <w:t>can still be included in the insect-damaged timber</w:t>
      </w:r>
      <w:r>
        <w:rPr>
          <w:spacing w:val="8"/>
        </w:rPr>
        <w:t> </w:t>
      </w:r>
      <w:r>
        <w:rPr/>
        <w:t>price</w:t>
      </w:r>
      <w:r>
        <w:rPr>
          <w:w w:val="100"/>
        </w:rPr>
        <w:t> </w:t>
      </w:r>
      <w:r>
        <w:rPr/>
        <w:t>model inasmuch as it contributes to the explanation</w:t>
      </w:r>
      <w:r>
        <w:rPr>
          <w:spacing w:val="43"/>
        </w:rPr>
        <w:t> </w:t>
      </w:r>
      <w:r>
        <w:rPr/>
        <w:t>of</w:t>
      </w:r>
      <w:r>
        <w:rPr>
          <w:w w:val="100"/>
        </w:rPr>
        <w:t> </w:t>
      </w:r>
      <w:r>
        <w:rPr/>
        <w:t>variance </w:t>
      </w:r>
      <w:r>
        <w:rPr>
          <w:spacing w:val="-4"/>
        </w:rPr>
        <w:t>of </w:t>
      </w:r>
      <w:r>
        <w:rPr/>
        <w:t>the</w:t>
      </w:r>
      <w:r>
        <w:rPr>
          <w:spacing w:val="6"/>
        </w:rPr>
        <w:t> </w:t>
      </w:r>
      <w:r>
        <w:rPr/>
        <w:t>prices.</w:t>
      </w:r>
    </w:p>
    <w:p>
      <w:pPr>
        <w:pStyle w:val="BodyText"/>
        <w:spacing w:line="237" w:lineRule="auto" w:before="2"/>
        <w:ind w:right="1" w:firstLine="182"/>
        <w:jc w:val="both"/>
      </w:pPr>
      <w:r>
        <w:rPr/>
        <w:t>According to results obtained by model, a</w:t>
      </w:r>
      <w:r>
        <w:rPr>
          <w:spacing w:val="47"/>
        </w:rPr>
        <w:t> </w:t>
      </w:r>
      <w:r>
        <w:rPr/>
        <w:t>negative</w:t>
      </w:r>
      <w:r>
        <w:rPr>
          <w:w w:val="100"/>
        </w:rPr>
        <w:t> </w:t>
      </w:r>
      <w:r>
        <w:rPr/>
        <w:t>correlation between insect damage level and sales</w:t>
      </w:r>
      <w:r>
        <w:rPr>
          <w:spacing w:val="17"/>
        </w:rPr>
        <w:t> </w:t>
      </w:r>
      <w:r>
        <w:rPr/>
        <w:t>price</w:t>
      </w:r>
      <w:r>
        <w:rPr>
          <w:w w:val="100"/>
        </w:rPr>
        <w:t> </w:t>
      </w:r>
      <w:r>
        <w:rPr/>
        <w:t>has been determined. According to this, while</w:t>
      </w:r>
      <w:r>
        <w:rPr>
          <w:spacing w:val="49"/>
        </w:rPr>
        <w:t> </w:t>
      </w:r>
      <w:r>
        <w:rPr/>
        <w:t>other</w:t>
      </w:r>
      <w:r>
        <w:rPr>
          <w:w w:val="100"/>
        </w:rPr>
        <w:t> </w:t>
      </w:r>
      <w:r>
        <w:rPr/>
        <w:t>factors are constant, 1 unit increase in log damage</w:t>
      </w:r>
      <w:r>
        <w:rPr>
          <w:spacing w:val="36"/>
        </w:rPr>
        <w:t> </w:t>
      </w:r>
      <w:r>
        <w:rPr/>
        <w:t>level</w:t>
      </w:r>
      <w:r>
        <w:rPr>
          <w:w w:val="100"/>
        </w:rPr>
        <w:t> </w:t>
      </w:r>
      <w:r>
        <w:rPr>
          <w:sz w:val="19"/>
        </w:rPr>
        <w:t>will decrease roundwood sales price by 5.66 TL/m</w:t>
      </w:r>
      <w:r>
        <w:rPr>
          <w:position w:val="9"/>
          <w:sz w:val="12"/>
        </w:rPr>
        <w:t>3</w:t>
      </w:r>
      <w:r>
        <w:rPr>
          <w:sz w:val="19"/>
        </w:rPr>
        <w:t>. In</w:t>
      </w:r>
      <w:r>
        <w:rPr>
          <w:spacing w:val="3"/>
          <w:sz w:val="19"/>
        </w:rPr>
        <w:t> </w:t>
      </w:r>
      <w:r>
        <w:rPr>
          <w:sz w:val="19"/>
        </w:rPr>
        <w:t>other</w:t>
      </w:r>
      <w:r>
        <w:rPr>
          <w:w w:val="101"/>
          <w:sz w:val="19"/>
        </w:rPr>
        <w:t> </w:t>
      </w:r>
      <w:r>
        <w:rPr/>
        <w:t>words, by considering increase in damage level,</w:t>
      </w:r>
      <w:r>
        <w:rPr>
          <w:spacing w:val="16"/>
        </w:rPr>
        <w:t> </w:t>
      </w:r>
      <w:r>
        <w:rPr/>
        <w:t>bidders</w:t>
      </w:r>
      <w:r>
        <w:rPr>
          <w:w w:val="100"/>
        </w:rPr>
        <w:t> </w:t>
      </w:r>
      <w:r>
        <w:rPr/>
        <w:t>have less reserve price and </w:t>
      </w:r>
      <w:r>
        <w:rPr>
          <w:spacing w:val="-3"/>
        </w:rPr>
        <w:t>so </w:t>
      </w:r>
      <w:r>
        <w:rPr/>
        <w:t>they cause less log sales</w:t>
      </w:r>
      <w:r>
        <w:rPr>
          <w:w w:val="100"/>
        </w:rPr>
        <w:t> </w:t>
      </w:r>
      <w:r>
        <w:rPr/>
        <w:t>prices. Similar to these findings Lowell and Parry</w:t>
      </w:r>
      <w:r>
        <w:rPr>
          <w:spacing w:val="41"/>
        </w:rPr>
        <w:t> </w:t>
      </w:r>
      <w:r>
        <w:rPr/>
        <w:t>(2007)</w:t>
      </w:r>
      <w:r>
        <w:rPr>
          <w:w w:val="100"/>
        </w:rPr>
        <w:t> </w:t>
      </w:r>
      <w:r>
        <w:rPr/>
        <w:t>state</w:t>
      </w:r>
      <w:r>
        <w:rPr>
          <w:spacing w:val="55"/>
        </w:rPr>
        <w:t> </w:t>
      </w:r>
      <w:r>
        <w:rPr/>
        <w:t>that</w:t>
      </w:r>
      <w:r>
        <w:rPr>
          <w:spacing w:val="55"/>
        </w:rPr>
        <w:t> </w:t>
      </w:r>
      <w:r>
        <w:rPr/>
        <w:t>defects on</w:t>
      </w:r>
      <w:r>
        <w:rPr>
          <w:spacing w:val="55"/>
        </w:rPr>
        <w:t> </w:t>
      </w:r>
      <w:r>
        <w:rPr/>
        <w:t>lumber</w:t>
      </w:r>
      <w:r>
        <w:rPr>
          <w:spacing w:val="55"/>
        </w:rPr>
        <w:t> </w:t>
      </w:r>
      <w:r>
        <w:rPr/>
        <w:t>decreases</w:t>
      </w:r>
      <w:r>
        <w:rPr>
          <w:spacing w:val="55"/>
        </w:rPr>
        <w:t> </w:t>
      </w:r>
      <w:r>
        <w:rPr/>
        <w:t>sales</w:t>
      </w:r>
      <w:r>
        <w:rPr>
          <w:spacing w:val="28"/>
        </w:rPr>
        <w:t> </w:t>
      </w:r>
      <w:r>
        <w:rPr/>
        <w:t>price</w:t>
      </w:r>
      <w:r>
        <w:rPr>
          <w:w w:val="100"/>
        </w:rPr>
        <w:t> </w:t>
      </w:r>
      <w:r>
        <w:rPr/>
        <w:t>dramatically.</w:t>
      </w:r>
    </w:p>
    <w:p>
      <w:pPr>
        <w:pStyle w:val="BodyText"/>
        <w:spacing w:line="240" w:lineRule="auto" w:before="1"/>
        <w:ind w:left="286" w:right="0"/>
        <w:jc w:val="left"/>
      </w:pPr>
      <w:r>
        <w:rPr/>
        <w:t>Based on the results of model, while other variables</w:t>
      </w:r>
      <w:r>
        <w:rPr>
          <w:spacing w:val="-14"/>
        </w:rPr>
        <w:t> </w:t>
      </w:r>
      <w:r>
        <w:rPr/>
        <w:t>are</w:t>
      </w:r>
    </w:p>
    <w:p>
      <w:pPr>
        <w:spacing w:line="240" w:lineRule="auto" w:before="6"/>
        <w:rPr>
          <w:rFonts w:ascii="Arial" w:hAnsi="Arial" w:cs="Arial" w:eastAsia="Arial"/>
          <w:sz w:val="21"/>
          <w:szCs w:val="21"/>
        </w:rPr>
      </w:pPr>
      <w:r>
        <w:rPr/>
        <w:br w:type="column"/>
      </w:r>
      <w:r>
        <w:rPr>
          <w:rFonts w:ascii="Arial"/>
          <w:sz w:val="21"/>
        </w:rPr>
      </w:r>
    </w:p>
    <w:p>
      <w:pPr>
        <w:pStyle w:val="BodyText"/>
        <w:spacing w:line="220" w:lineRule="auto"/>
        <w:ind w:right="111"/>
        <w:jc w:val="both"/>
      </w:pPr>
      <w:r>
        <w:rPr/>
        <w:t>constant, the coefficient </w:t>
      </w:r>
      <w:r>
        <w:rPr>
          <w:spacing w:val="-4"/>
        </w:rPr>
        <w:t>of </w:t>
      </w:r>
      <w:r>
        <w:rPr/>
        <w:t>bidder number  reveals</w:t>
      </w:r>
      <w:r>
        <w:rPr>
          <w:spacing w:val="16"/>
        </w:rPr>
        <w:t> </w:t>
      </w:r>
      <w:r>
        <w:rPr/>
        <w:t>that</w:t>
      </w:r>
      <w:r>
        <w:rPr>
          <w:w w:val="100"/>
        </w:rPr>
        <w:t> </w:t>
      </w:r>
      <w:r>
        <w:rPr/>
        <w:t>one more bidder in auction will increase the</w:t>
      </w:r>
      <w:r>
        <w:rPr>
          <w:spacing w:val="34"/>
        </w:rPr>
        <w:t> </w:t>
      </w:r>
      <w:r>
        <w:rPr/>
        <w:t>roundwood</w:t>
      </w:r>
      <w:r>
        <w:rPr>
          <w:w w:val="100"/>
        </w:rPr>
        <w:t> </w:t>
      </w:r>
      <w:r>
        <w:rPr/>
        <w:t>sales  price  by  2.94  TL/m</w:t>
      </w:r>
      <w:r>
        <w:rPr>
          <w:position w:val="10"/>
          <w:sz w:val="13"/>
        </w:rPr>
        <w:t>3</w:t>
      </w:r>
      <w:r>
        <w:rPr/>
        <w:t>.  Similar  results  have </w:t>
      </w:r>
      <w:r>
        <w:rPr>
          <w:spacing w:val="50"/>
        </w:rPr>
        <w:t> </w:t>
      </w:r>
      <w:r>
        <w:rPr>
          <w:spacing w:val="-3"/>
        </w:rPr>
        <w:t>been</w:t>
      </w:r>
    </w:p>
    <w:p>
      <w:pPr>
        <w:pStyle w:val="BodyText"/>
        <w:spacing w:line="240" w:lineRule="auto" w:before="4"/>
        <w:ind w:right="111"/>
        <w:jc w:val="both"/>
      </w:pPr>
      <w:r>
        <w:rPr/>
        <w:t>obtained in </w:t>
      </w:r>
      <w:r>
        <w:rPr>
          <w:rFonts w:ascii="Arial" w:hAnsi="Arial" w:cs="Arial" w:eastAsia="Arial"/>
        </w:rPr>
        <w:t>Dun and Dubois’s (1999) study.</w:t>
      </w:r>
      <w:r>
        <w:rPr>
          <w:rFonts w:ascii="Arial" w:hAnsi="Arial" w:cs="Arial" w:eastAsia="Arial"/>
          <w:spacing w:val="11"/>
        </w:rPr>
        <w:t> </w:t>
      </w:r>
      <w:r>
        <w:rPr/>
        <w:t>Accordingly,</w:t>
      </w:r>
      <w:r>
        <w:rPr>
          <w:w w:val="100"/>
        </w:rPr>
        <w:t> </w:t>
      </w:r>
      <w:r>
        <w:rPr/>
        <w:t>each bidder increases the sales price by $</w:t>
      </w:r>
      <w:r>
        <w:rPr>
          <w:spacing w:val="-11"/>
        </w:rPr>
        <w:t> </w:t>
      </w:r>
      <w:r>
        <w:rPr/>
        <w:t>33.26.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pStyle w:val="Heading1"/>
        <w:spacing w:line="240" w:lineRule="auto" w:before="135"/>
        <w:ind w:right="0"/>
        <w:jc w:val="left"/>
        <w:rPr>
          <w:b w:val="0"/>
          <w:bCs w:val="0"/>
        </w:rPr>
      </w:pPr>
      <w:r>
        <w:rPr/>
        <w:t>Conclusion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pStyle w:val="BodyText"/>
        <w:spacing w:line="240" w:lineRule="auto"/>
        <w:ind w:right="113"/>
        <w:jc w:val="both"/>
      </w:pPr>
      <w:r>
        <w:rPr/>
        <w:t>In</w:t>
      </w:r>
      <w:r>
        <w:rPr>
          <w:spacing w:val="24"/>
        </w:rPr>
        <w:t> </w:t>
      </w:r>
      <w:r>
        <w:rPr/>
        <w:t>this</w:t>
      </w:r>
      <w:r>
        <w:rPr>
          <w:spacing w:val="21"/>
        </w:rPr>
        <w:t> </w:t>
      </w:r>
      <w:r>
        <w:rPr/>
        <w:t>study,</w:t>
      </w:r>
      <w:r>
        <w:rPr>
          <w:spacing w:val="27"/>
        </w:rPr>
        <w:t> </w:t>
      </w:r>
      <w:r>
        <w:rPr/>
        <w:t>insect</w:t>
      </w:r>
      <w:r>
        <w:rPr>
          <w:spacing w:val="27"/>
        </w:rPr>
        <w:t> </w:t>
      </w:r>
      <w:r>
        <w:rPr/>
        <w:t>damage</w:t>
      </w:r>
      <w:r>
        <w:rPr>
          <w:spacing w:val="24"/>
        </w:rPr>
        <w:t> </w:t>
      </w:r>
      <w:r>
        <w:rPr/>
        <w:t>effect</w:t>
      </w:r>
      <w:r>
        <w:rPr>
          <w:spacing w:val="27"/>
        </w:rPr>
        <w:t> </w:t>
      </w:r>
      <w:r>
        <w:rPr/>
        <w:t>with</w:t>
      </w:r>
      <w:r>
        <w:rPr>
          <w:spacing w:val="24"/>
        </w:rPr>
        <w:t> </w:t>
      </w:r>
      <w:r>
        <w:rPr/>
        <w:t>other</w:t>
      </w:r>
      <w:r>
        <w:rPr>
          <w:spacing w:val="21"/>
        </w:rPr>
        <w:t> </w:t>
      </w:r>
      <w:r>
        <w:rPr/>
        <w:t>factors</w:t>
      </w:r>
      <w:r>
        <w:rPr>
          <w:spacing w:val="16"/>
        </w:rPr>
        <w:t> </w:t>
      </w:r>
      <w:r>
        <w:rPr/>
        <w:t>on</w:t>
      </w:r>
      <w:r>
        <w:rPr>
          <w:w w:val="100"/>
        </w:rPr>
        <w:t> </w:t>
      </w:r>
      <w:r>
        <w:rPr/>
        <w:t>spruce</w:t>
      </w:r>
      <w:r>
        <w:rPr>
          <w:spacing w:val="55"/>
        </w:rPr>
        <w:t> </w:t>
      </w:r>
      <w:r>
        <w:rPr/>
        <w:t>industrial</w:t>
      </w:r>
      <w:r>
        <w:rPr>
          <w:spacing w:val="55"/>
        </w:rPr>
        <w:t> </w:t>
      </w:r>
      <w:r>
        <w:rPr>
          <w:spacing w:val="-3"/>
        </w:rPr>
        <w:t>roundwood </w:t>
      </w:r>
      <w:r>
        <w:rPr/>
        <w:t>sales</w:t>
      </w:r>
      <w:r>
        <w:rPr>
          <w:spacing w:val="55"/>
        </w:rPr>
        <w:t> </w:t>
      </w:r>
      <w:r>
        <w:rPr/>
        <w:t>price</w:t>
      </w:r>
      <w:r>
        <w:rPr>
          <w:spacing w:val="55"/>
        </w:rPr>
        <w:t> </w:t>
      </w:r>
      <w:r>
        <w:rPr/>
        <w:t>has</w:t>
      </w:r>
      <w:r>
        <w:rPr>
          <w:spacing w:val="19"/>
        </w:rPr>
        <w:t> </w:t>
      </w:r>
      <w:r>
        <w:rPr/>
        <w:t>been</w:t>
      </w:r>
      <w:r>
        <w:rPr>
          <w:w w:val="100"/>
        </w:rPr>
        <w:t> </w:t>
      </w:r>
      <w:r>
        <w:rPr/>
        <w:t>examined. The proposed regression model appears to</w:t>
      </w:r>
      <w:r>
        <w:rPr>
          <w:spacing w:val="16"/>
        </w:rPr>
        <w:t> </w:t>
      </w:r>
      <w:r>
        <w:rPr/>
        <w:t>be</w:t>
      </w:r>
      <w:r>
        <w:rPr>
          <w:w w:val="100"/>
        </w:rPr>
        <w:t> </w:t>
      </w:r>
      <w:r>
        <w:rPr/>
        <w:t>strong enough to explain most of the variation in</w:t>
      </w:r>
      <w:r>
        <w:rPr>
          <w:spacing w:val="-21"/>
        </w:rPr>
        <w:t> </w:t>
      </w:r>
      <w:r>
        <w:rPr/>
        <w:t>sales</w:t>
      </w:r>
      <w:r>
        <w:rPr>
          <w:w w:val="100"/>
        </w:rPr>
        <w:t> </w:t>
      </w:r>
      <w:r>
        <w:rPr/>
        <w:t>price </w:t>
      </w:r>
      <w:r>
        <w:rPr>
          <w:spacing w:val="-4"/>
        </w:rPr>
        <w:t>of </w:t>
      </w:r>
      <w:r>
        <w:rPr/>
        <w:t>insect-damaged timber in the region, which</w:t>
      </w:r>
      <w:r>
        <w:rPr>
          <w:spacing w:val="54"/>
        </w:rPr>
        <w:t> </w:t>
      </w:r>
      <w:r>
        <w:rPr/>
        <w:t>could</w:t>
      </w:r>
      <w:r>
        <w:rPr>
          <w:w w:val="100"/>
        </w:rPr>
        <w:t> </w:t>
      </w:r>
      <w:r>
        <w:rPr/>
        <w:t>reasonably lead to generalization </w:t>
      </w:r>
      <w:r>
        <w:rPr>
          <w:spacing w:val="-4"/>
        </w:rPr>
        <w:t>of </w:t>
      </w:r>
      <w:r>
        <w:rPr/>
        <w:t>the proposed</w:t>
      </w:r>
      <w:r>
        <w:rPr>
          <w:spacing w:val="14"/>
        </w:rPr>
        <w:t> </w:t>
      </w:r>
      <w:r>
        <w:rPr/>
        <w:t>model</w:t>
      </w:r>
      <w:r>
        <w:rPr>
          <w:w w:val="100"/>
        </w:rPr>
        <w:t> </w:t>
      </w:r>
      <w:r>
        <w:rPr/>
        <w:t>to a certain extent for other regions marketing</w:t>
      </w:r>
      <w:r>
        <w:rPr>
          <w:spacing w:val="17"/>
        </w:rPr>
        <w:t> </w:t>
      </w:r>
      <w:r>
        <w:rPr/>
        <w:t>insect-da-</w:t>
      </w:r>
      <w:r>
        <w:rPr>
          <w:w w:val="100"/>
        </w:rPr>
        <w:t> </w:t>
      </w:r>
      <w:r>
        <w:rPr/>
        <w:t>maged roundwood. As for the effect </w:t>
      </w:r>
      <w:r>
        <w:rPr>
          <w:spacing w:val="-4"/>
        </w:rPr>
        <w:t>of </w:t>
      </w:r>
      <w:r>
        <w:rPr/>
        <w:t>insect damage</w:t>
      </w:r>
      <w:r>
        <w:rPr>
          <w:spacing w:val="15"/>
        </w:rPr>
        <w:t> </w:t>
      </w:r>
      <w:r>
        <w:rPr/>
        <w:t>per</w:t>
      </w:r>
      <w:r>
        <w:rPr>
          <w:w w:val="100"/>
        </w:rPr>
        <w:t> </w:t>
      </w:r>
      <w:r>
        <w:rPr>
          <w:rFonts w:ascii="Arial" w:hAnsi="Arial" w:cs="Arial" w:eastAsia="Arial"/>
          <w:spacing w:val="-3"/>
        </w:rPr>
        <w:t>se </w:t>
      </w:r>
      <w:r>
        <w:rPr>
          <w:rFonts w:ascii="Arial" w:hAnsi="Arial" w:cs="Arial" w:eastAsia="Arial"/>
        </w:rPr>
        <w:t>on the price, it could be noted that the “damage</w:t>
      </w:r>
      <w:r>
        <w:rPr>
          <w:rFonts w:ascii="Arial" w:hAnsi="Arial" w:cs="Arial" w:eastAsia="Arial"/>
          <w:spacing w:val="1"/>
        </w:rPr>
        <w:t> </w:t>
      </w:r>
      <w:r>
        <w:rPr>
          <w:rFonts w:ascii="Arial" w:hAnsi="Arial" w:cs="Arial" w:eastAsia="Arial"/>
        </w:rPr>
        <w:t>level”</w:t>
      </w:r>
      <w:r>
        <w:rPr>
          <w:rFonts w:ascii="Arial" w:hAnsi="Arial" w:cs="Arial" w:eastAsia="Arial"/>
          <w:w w:val="100"/>
        </w:rPr>
        <w:t> </w:t>
      </w:r>
      <w:r>
        <w:rPr/>
        <w:t>probably has collinearity in negative direction with</w:t>
      </w:r>
      <w:r>
        <w:rPr>
          <w:spacing w:val="40"/>
        </w:rPr>
        <w:t> </w:t>
      </w:r>
      <w:r>
        <w:rPr>
          <w:spacing w:val="-2"/>
        </w:rPr>
        <w:t>the</w:t>
      </w:r>
      <w:r>
        <w:rPr>
          <w:w w:val="100"/>
        </w:rPr>
        <w:t> </w:t>
      </w:r>
      <w:r>
        <w:rPr>
          <w:rFonts w:ascii="Arial" w:hAnsi="Arial" w:cs="Arial" w:eastAsia="Arial"/>
        </w:rPr>
        <w:t>“appraised value” and “number </w:t>
      </w:r>
      <w:r>
        <w:rPr>
          <w:rFonts w:ascii="Arial" w:hAnsi="Arial" w:cs="Arial" w:eastAsia="Arial"/>
          <w:spacing w:val="-4"/>
        </w:rPr>
        <w:t>of </w:t>
      </w:r>
      <w:r>
        <w:rPr>
          <w:rFonts w:ascii="Arial" w:hAnsi="Arial" w:cs="Arial" w:eastAsia="Arial"/>
        </w:rPr>
        <w:t>bidders”. This, in </w:t>
      </w:r>
      <w:r>
        <w:rPr/>
        <w:t>turn,</w:t>
      </w:r>
      <w:r>
        <w:rPr>
          <w:w w:val="100"/>
        </w:rPr>
        <w:t> </w:t>
      </w:r>
      <w:r>
        <w:rPr>
          <w:rFonts w:ascii="Arial" w:hAnsi="Arial" w:cs="Arial" w:eastAsia="Arial"/>
        </w:rPr>
        <w:t>may lead to the conclusion that the effect </w:t>
      </w:r>
      <w:r>
        <w:rPr>
          <w:rFonts w:ascii="Arial" w:hAnsi="Arial" w:cs="Arial" w:eastAsia="Arial"/>
          <w:spacing w:val="-4"/>
        </w:rPr>
        <w:t>of</w:t>
      </w:r>
      <w:r>
        <w:rPr>
          <w:rFonts w:ascii="Arial" w:hAnsi="Arial" w:cs="Arial" w:eastAsia="Arial"/>
          <w:spacing w:val="27"/>
        </w:rPr>
        <w:t> </w:t>
      </w:r>
      <w:r>
        <w:rPr>
          <w:rFonts w:ascii="Arial" w:hAnsi="Arial" w:cs="Arial" w:eastAsia="Arial"/>
          <w:spacing w:val="-3"/>
        </w:rPr>
        <w:t>“damage</w:t>
      </w:r>
      <w:r>
        <w:rPr>
          <w:rFonts w:ascii="Arial" w:hAnsi="Arial" w:cs="Arial" w:eastAsia="Arial"/>
          <w:w w:val="100"/>
        </w:rPr>
        <w:t> </w:t>
      </w:r>
      <w:r>
        <w:rPr>
          <w:rFonts w:ascii="Arial" w:hAnsi="Arial" w:cs="Arial" w:eastAsia="Arial"/>
        </w:rPr>
        <w:t>level” on sales price is reflected not only by itself</w:t>
      </w:r>
      <w:r>
        <w:rPr>
          <w:rFonts w:ascii="Arial" w:hAnsi="Arial" w:cs="Arial" w:eastAsia="Arial"/>
          <w:spacing w:val="16"/>
        </w:rPr>
        <w:t> </w:t>
      </w:r>
      <w:r>
        <w:rPr>
          <w:rFonts w:ascii="Arial" w:hAnsi="Arial" w:cs="Arial" w:eastAsia="Arial"/>
        </w:rPr>
        <w:t>directly</w:t>
      </w:r>
      <w:r>
        <w:rPr>
          <w:rFonts w:ascii="Arial" w:hAnsi="Arial" w:cs="Arial" w:eastAsia="Arial"/>
          <w:w w:val="100"/>
        </w:rPr>
        <w:t> </w:t>
      </w:r>
      <w:r>
        <w:rPr/>
        <w:t>but also through</w:t>
      </w:r>
      <w:r>
        <w:rPr>
          <w:spacing w:val="55"/>
        </w:rPr>
        <w:t> </w:t>
      </w:r>
      <w:r>
        <w:rPr>
          <w:rFonts w:ascii="Arial" w:hAnsi="Arial" w:cs="Arial" w:eastAsia="Arial"/>
        </w:rPr>
        <w:t>“appraised value” and “number</w:t>
      </w:r>
      <w:r>
        <w:rPr>
          <w:rFonts w:ascii="Arial" w:hAnsi="Arial" w:cs="Arial" w:eastAsia="Arial"/>
          <w:spacing w:val="37"/>
        </w:rPr>
        <w:t> </w:t>
      </w:r>
      <w:r>
        <w:rPr>
          <w:rFonts w:ascii="Arial" w:hAnsi="Arial" w:cs="Arial" w:eastAsia="Arial"/>
        </w:rPr>
        <w:t>of</w:t>
      </w:r>
      <w:r>
        <w:rPr>
          <w:rFonts w:ascii="Arial" w:hAnsi="Arial" w:cs="Arial" w:eastAsia="Arial"/>
          <w:w w:val="100"/>
        </w:rPr>
        <w:t> </w:t>
      </w:r>
      <w:r>
        <w:rPr>
          <w:rFonts w:ascii="Arial" w:hAnsi="Arial" w:cs="Arial" w:eastAsia="Arial"/>
        </w:rPr>
        <w:t>bidders”. By the </w:t>
      </w:r>
      <w:r>
        <w:rPr>
          <w:rFonts w:ascii="Arial" w:hAnsi="Arial" w:cs="Arial" w:eastAsia="Arial"/>
          <w:spacing w:val="-3"/>
        </w:rPr>
        <w:t>same </w:t>
      </w:r>
      <w:r>
        <w:rPr>
          <w:rFonts w:ascii="Arial" w:hAnsi="Arial" w:cs="Arial" w:eastAsia="Arial"/>
        </w:rPr>
        <w:t>token, all </w:t>
      </w:r>
      <w:r>
        <w:rPr>
          <w:rFonts w:ascii="Arial" w:hAnsi="Arial" w:cs="Arial" w:eastAsia="Arial"/>
          <w:spacing w:val="-4"/>
        </w:rPr>
        <w:t>of </w:t>
      </w:r>
      <w:r>
        <w:rPr>
          <w:rFonts w:ascii="Arial" w:hAnsi="Arial" w:cs="Arial" w:eastAsia="Arial"/>
        </w:rPr>
        <w:t>these three</w:t>
      </w:r>
      <w:r>
        <w:rPr>
          <w:rFonts w:ascii="Arial" w:hAnsi="Arial" w:cs="Arial" w:eastAsia="Arial"/>
          <w:spacing w:val="22"/>
        </w:rPr>
        <w:t> </w:t>
      </w:r>
      <w:r>
        <w:rPr>
          <w:rFonts w:ascii="Arial" w:hAnsi="Arial" w:cs="Arial" w:eastAsia="Arial"/>
        </w:rPr>
        <w:t>variables</w:t>
      </w:r>
      <w:r>
        <w:rPr>
          <w:rFonts w:ascii="Arial" w:hAnsi="Arial" w:cs="Arial" w:eastAsia="Arial"/>
          <w:w w:val="100"/>
        </w:rPr>
        <w:t> </w:t>
      </w:r>
      <w:r>
        <w:rPr/>
        <w:t>can still be included in the</w:t>
      </w:r>
      <w:r>
        <w:rPr>
          <w:spacing w:val="-4"/>
        </w:rPr>
        <w:t> </w:t>
      </w:r>
      <w:r>
        <w:rPr/>
        <w:t>model.</w:t>
      </w:r>
    </w:p>
    <w:p>
      <w:pPr>
        <w:pStyle w:val="BodyText"/>
        <w:spacing w:line="240" w:lineRule="auto"/>
        <w:ind w:right="111" w:firstLine="182"/>
        <w:jc w:val="both"/>
      </w:pPr>
      <w:r>
        <w:rPr/>
        <w:t>After all, whether directly or indirectly through</w:t>
      </w:r>
      <w:r>
        <w:rPr>
          <w:spacing w:val="9"/>
        </w:rPr>
        <w:t> </w:t>
      </w:r>
      <w:r>
        <w:rPr/>
        <w:t>other</w:t>
      </w:r>
      <w:r>
        <w:rPr>
          <w:w w:val="100"/>
        </w:rPr>
        <w:t> </w:t>
      </w:r>
      <w:r>
        <w:rPr/>
        <w:t>factors,</w:t>
      </w:r>
      <w:r>
        <w:rPr>
          <w:spacing w:val="25"/>
        </w:rPr>
        <w:t> </w:t>
      </w:r>
      <w:r>
        <w:rPr/>
        <w:t>the</w:t>
      </w:r>
      <w:r>
        <w:rPr>
          <w:spacing w:val="22"/>
        </w:rPr>
        <w:t> </w:t>
      </w:r>
      <w:r>
        <w:rPr/>
        <w:t>damage</w:t>
      </w:r>
      <w:r>
        <w:rPr>
          <w:spacing w:val="22"/>
        </w:rPr>
        <w:t> </w:t>
      </w:r>
      <w:r>
        <w:rPr/>
        <w:t>by</w:t>
      </w:r>
      <w:r>
        <w:rPr>
          <w:spacing w:val="20"/>
        </w:rPr>
        <w:t> </w:t>
      </w:r>
      <w:r>
        <w:rPr/>
        <w:t>the</w:t>
      </w:r>
      <w:r>
        <w:rPr>
          <w:spacing w:val="22"/>
        </w:rPr>
        <w:t> </w:t>
      </w:r>
      <w:r>
        <w:rPr/>
        <w:t>bark</w:t>
      </w:r>
      <w:r>
        <w:rPr>
          <w:spacing w:val="23"/>
        </w:rPr>
        <w:t> </w:t>
      </w:r>
      <w:r>
        <w:rPr/>
        <w:t>beetles,</w:t>
      </w:r>
      <w:r>
        <w:rPr>
          <w:spacing w:val="25"/>
        </w:rPr>
        <w:t> </w:t>
      </w:r>
      <w:r>
        <w:rPr/>
        <w:t>can</w:t>
      </w:r>
      <w:r>
        <w:rPr>
          <w:spacing w:val="22"/>
        </w:rPr>
        <w:t> </w:t>
      </w:r>
      <w:r>
        <w:rPr/>
        <w:t>be</w:t>
      </w:r>
      <w:r>
        <w:rPr>
          <w:spacing w:val="22"/>
        </w:rPr>
        <w:t> </w:t>
      </w:r>
      <w:r>
        <w:rPr/>
        <w:t>said</w:t>
      </w:r>
      <w:r>
        <w:rPr>
          <w:spacing w:val="18"/>
        </w:rPr>
        <w:t> </w:t>
      </w:r>
      <w:r>
        <w:rPr/>
        <w:t>to</w:t>
      </w:r>
      <w:r>
        <w:rPr>
          <w:w w:val="100"/>
        </w:rPr>
        <w:t> </w:t>
      </w:r>
      <w:r>
        <w:rPr/>
        <w:t>have considerable negative effect on timber sales</w:t>
      </w:r>
      <w:r>
        <w:rPr>
          <w:spacing w:val="53"/>
        </w:rPr>
        <w:t> </w:t>
      </w:r>
      <w:r>
        <w:rPr/>
        <w:t>prices.</w:t>
      </w:r>
      <w:r>
        <w:rPr>
          <w:w w:val="100"/>
        </w:rPr>
        <w:t> </w:t>
      </w:r>
      <w:r>
        <w:rPr/>
        <w:t>Thus, it can arguably be suggested that the timber</w:t>
      </w:r>
      <w:r>
        <w:rPr>
          <w:spacing w:val="-10"/>
        </w:rPr>
        <w:t> </w:t>
      </w:r>
      <w:r>
        <w:rPr/>
        <w:t>parties</w:t>
      </w:r>
      <w:r>
        <w:rPr>
          <w:w w:val="100"/>
        </w:rPr>
        <w:t> </w:t>
      </w:r>
      <w:r>
        <w:rPr/>
        <w:t>should be separated in a certain </w:t>
      </w:r>
      <w:r>
        <w:rPr>
          <w:spacing w:val="-3"/>
        </w:rPr>
        <w:t>way </w:t>
      </w:r>
      <w:r>
        <w:rPr/>
        <w:t>as opposed</w:t>
      </w:r>
      <w:r>
        <w:rPr>
          <w:spacing w:val="41"/>
        </w:rPr>
        <w:t> </w:t>
      </w:r>
      <w:r>
        <w:rPr/>
        <w:t>to</w:t>
      </w:r>
      <w:r>
        <w:rPr>
          <w:w w:val="100"/>
        </w:rPr>
        <w:t> </w:t>
      </w:r>
      <w:r>
        <w:rPr>
          <w:rFonts w:ascii="Arial" w:hAnsi="Arial" w:cs="Arial" w:eastAsia="Arial"/>
        </w:rPr>
        <w:t>mixing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some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damaged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logs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into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the</w:t>
      </w:r>
      <w:r>
        <w:rPr>
          <w:rFonts w:ascii="Arial" w:hAnsi="Arial" w:cs="Arial" w:eastAsia="Arial"/>
          <w:spacing w:val="55"/>
        </w:rPr>
        <w:t> </w:t>
      </w:r>
      <w:r>
        <w:rPr>
          <w:rFonts w:ascii="Arial" w:hAnsi="Arial" w:cs="Arial" w:eastAsia="Arial"/>
        </w:rPr>
        <w:t>“clean”</w:t>
      </w:r>
      <w:r>
        <w:rPr>
          <w:rFonts w:ascii="Arial" w:hAnsi="Arial" w:cs="Arial" w:eastAsia="Arial"/>
          <w:spacing w:val="7"/>
        </w:rPr>
        <w:t> </w:t>
      </w:r>
      <w:r>
        <w:rPr>
          <w:rFonts w:ascii="Arial" w:hAnsi="Arial" w:cs="Arial" w:eastAsia="Arial"/>
        </w:rPr>
        <w:t>timber</w:t>
      </w:r>
      <w:r>
        <w:rPr>
          <w:rFonts w:ascii="Arial" w:hAnsi="Arial" w:cs="Arial" w:eastAsia="Arial"/>
          <w:w w:val="100"/>
        </w:rPr>
        <w:t> </w:t>
      </w:r>
      <w:r>
        <w:rPr/>
        <w:t>parties. In fact, as reported by Dikili</w:t>
      </w:r>
      <w:r>
        <w:rPr>
          <w:rFonts w:ascii="Arial" w:hAnsi="Arial" w:cs="Arial" w:eastAsia="Arial"/>
        </w:rPr>
        <w:t>taş and</w:t>
      </w:r>
      <w:r>
        <w:rPr>
          <w:rFonts w:ascii="Arial" w:hAnsi="Arial" w:cs="Arial" w:eastAsia="Arial"/>
          <w:spacing w:val="11"/>
        </w:rPr>
        <w:t> </w:t>
      </w:r>
      <w:r>
        <w:rPr>
          <w:rFonts w:ascii="Arial" w:hAnsi="Arial" w:cs="Arial" w:eastAsia="Arial"/>
        </w:rPr>
        <w:t>Öztürk,</w:t>
      </w:r>
      <w:r>
        <w:rPr>
          <w:rFonts w:ascii="Arial" w:hAnsi="Arial" w:cs="Arial" w:eastAsia="Arial"/>
          <w:w w:val="100"/>
        </w:rPr>
        <w:t> </w:t>
      </w:r>
      <w:r>
        <w:rPr/>
        <w:t>(2005), there can be some potential buyers </w:t>
      </w:r>
      <w:r>
        <w:rPr>
          <w:spacing w:val="-3"/>
        </w:rPr>
        <w:t>who </w:t>
      </w:r>
      <w:r>
        <w:rPr/>
        <w:t>think</w:t>
      </w:r>
      <w:r>
        <w:rPr>
          <w:spacing w:val="3"/>
        </w:rPr>
        <w:t> </w:t>
      </w:r>
      <w:r>
        <w:rPr/>
        <w:t>that</w:t>
      </w:r>
      <w:r>
        <w:rPr>
          <w:w w:val="100"/>
        </w:rPr>
        <w:t> </w:t>
      </w:r>
      <w:r>
        <w:rPr/>
        <w:t>all</w:t>
      </w:r>
      <w:r>
        <w:rPr>
          <w:spacing w:val="55"/>
        </w:rPr>
        <w:t> </w:t>
      </w:r>
      <w:r>
        <w:rPr>
          <w:spacing w:val="-4"/>
        </w:rPr>
        <w:t>of </w:t>
      </w:r>
      <w:r>
        <w:rPr/>
        <w:t>timber</w:t>
      </w:r>
      <w:r>
        <w:rPr>
          <w:spacing w:val="55"/>
        </w:rPr>
        <w:t> </w:t>
      </w:r>
      <w:r>
        <w:rPr/>
        <w:t>parties</w:t>
      </w:r>
      <w:r>
        <w:rPr>
          <w:spacing w:val="55"/>
        </w:rPr>
        <w:t> </w:t>
      </w:r>
      <w:r>
        <w:rPr/>
        <w:t>are</w:t>
      </w:r>
      <w:r>
        <w:rPr>
          <w:spacing w:val="55"/>
        </w:rPr>
        <w:t> </w:t>
      </w:r>
      <w:r>
        <w:rPr>
          <w:spacing w:val="-3"/>
        </w:rPr>
        <w:t>somewhat </w:t>
      </w:r>
      <w:r>
        <w:rPr/>
        <w:t>insect-damaged,</w:t>
      </w:r>
      <w:r>
        <w:rPr>
          <w:w w:val="100"/>
        </w:rPr>
        <w:t> </w:t>
      </w:r>
      <w:r>
        <w:rPr/>
        <w:t>hence they tend to be unwilling to partake in any</w:t>
      </w:r>
      <w:r>
        <w:rPr>
          <w:spacing w:val="-19"/>
        </w:rPr>
        <w:t> </w:t>
      </w:r>
      <w:r>
        <w:rPr/>
        <w:t>auction."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sz w:val="16"/>
          <w:szCs w:val="16"/>
        </w:rPr>
      </w:pPr>
    </w:p>
    <w:p>
      <w:pPr>
        <w:spacing w:before="0"/>
        <w:ind w:left="104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sz w:val="16"/>
        </w:rPr>
        <w:t>REFERENCES</w:t>
      </w:r>
      <w:r>
        <w:rPr>
          <w:rFonts w:ascii="Arial"/>
          <w:sz w:val="16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spacing w:before="0"/>
        <w:ind w:left="286" w:right="120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sz w:val="16"/>
        </w:rPr>
        <w:t>Aksu Y (2007). Orman Zararlıları ile Mücadele Şube</w:t>
      </w:r>
      <w:r>
        <w:rPr>
          <w:rFonts w:ascii="Arial" w:hAnsi="Arial"/>
          <w:spacing w:val="29"/>
          <w:sz w:val="16"/>
        </w:rPr>
        <w:t> </w:t>
      </w:r>
      <w:r>
        <w:rPr>
          <w:rFonts w:ascii="Arial" w:hAnsi="Arial"/>
          <w:sz w:val="16"/>
        </w:rPr>
        <w:t>Müdürlüğü</w:t>
      </w:r>
      <w:r>
        <w:rPr>
          <w:rFonts w:ascii="Arial" w:hAnsi="Arial"/>
          <w:w w:val="99"/>
          <w:sz w:val="16"/>
        </w:rPr>
        <w:t> </w:t>
      </w:r>
      <w:r>
        <w:rPr>
          <w:rFonts w:ascii="Arial" w:hAnsi="Arial"/>
          <w:sz w:val="16"/>
        </w:rPr>
        <w:t>Faaliyetleri Raporu, Artvin OBM Orman Zararlıları ile Mücadele</w:t>
      </w:r>
      <w:r>
        <w:rPr>
          <w:rFonts w:ascii="Arial" w:hAnsi="Arial"/>
          <w:spacing w:val="32"/>
          <w:sz w:val="16"/>
        </w:rPr>
        <w:t> </w:t>
      </w:r>
      <w:r>
        <w:rPr>
          <w:rFonts w:ascii="Arial" w:hAnsi="Arial"/>
          <w:sz w:val="16"/>
        </w:rPr>
        <w:t>Şube</w:t>
      </w:r>
      <w:r>
        <w:rPr>
          <w:rFonts w:ascii="Arial" w:hAnsi="Arial"/>
          <w:w w:val="99"/>
          <w:sz w:val="16"/>
        </w:rPr>
        <w:t> </w:t>
      </w:r>
      <w:r>
        <w:rPr>
          <w:rFonts w:ascii="Arial" w:hAnsi="Arial"/>
          <w:sz w:val="16"/>
        </w:rPr>
        <w:t>Müdürlüğü, 1</w:t>
      </w:r>
      <w:r>
        <w:rPr>
          <w:rFonts w:ascii="Arial" w:hAnsi="Arial"/>
          <w:spacing w:val="-8"/>
          <w:sz w:val="16"/>
        </w:rPr>
        <w:t> </w:t>
      </w:r>
      <w:r>
        <w:rPr>
          <w:rFonts w:ascii="Arial" w:hAnsi="Arial"/>
          <w:sz w:val="16"/>
        </w:rPr>
        <w:t>s.</w:t>
      </w:r>
    </w:p>
    <w:p>
      <w:pPr>
        <w:spacing w:before="4"/>
        <w:ind w:left="286" w:right="119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Dahal P, Mehmood SR (2005). Determinants </w:t>
      </w:r>
      <w:r>
        <w:rPr>
          <w:rFonts w:ascii="Arial"/>
          <w:spacing w:val="-4"/>
          <w:sz w:val="16"/>
        </w:rPr>
        <w:t>of </w:t>
      </w:r>
      <w:r>
        <w:rPr>
          <w:rFonts w:ascii="Arial"/>
          <w:sz w:val="16"/>
        </w:rPr>
        <w:t>Timber Bid Prices</w:t>
      </w:r>
      <w:r>
        <w:rPr>
          <w:rFonts w:ascii="Arial"/>
          <w:spacing w:val="1"/>
          <w:sz w:val="16"/>
        </w:rPr>
        <w:t> </w:t>
      </w:r>
      <w:r>
        <w:rPr>
          <w:rFonts w:ascii="Arial"/>
          <w:sz w:val="16"/>
        </w:rPr>
        <w:t>in</w:t>
      </w:r>
      <w:r>
        <w:rPr>
          <w:rFonts w:ascii="Arial"/>
          <w:w w:val="98"/>
          <w:sz w:val="16"/>
        </w:rPr>
        <w:t> </w:t>
      </w:r>
      <w:r>
        <w:rPr>
          <w:rFonts w:ascii="Arial"/>
          <w:sz w:val="16"/>
        </w:rPr>
        <w:t>Arkansas. For. Prod. J., 55(12):</w:t>
      </w:r>
      <w:r>
        <w:rPr>
          <w:rFonts w:ascii="Arial"/>
          <w:spacing w:val="-16"/>
          <w:sz w:val="16"/>
        </w:rPr>
        <w:t> </w:t>
      </w:r>
      <w:r>
        <w:rPr>
          <w:rFonts w:ascii="Arial"/>
          <w:sz w:val="16"/>
        </w:rPr>
        <w:t>89-94.</w:t>
      </w:r>
    </w:p>
    <w:p>
      <w:pPr>
        <w:spacing w:line="240" w:lineRule="auto" w:before="0"/>
        <w:ind w:left="286" w:right="112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sz w:val="16"/>
        </w:rPr>
        <w:t>Dikilitaş</w:t>
      </w:r>
      <w:r>
        <w:rPr>
          <w:rFonts w:ascii="Arial" w:hAnsi="Arial"/>
          <w:spacing w:val="21"/>
          <w:sz w:val="16"/>
        </w:rPr>
        <w:t> </w:t>
      </w:r>
      <w:r>
        <w:rPr>
          <w:rFonts w:ascii="Arial" w:hAnsi="Arial"/>
          <w:sz w:val="16"/>
        </w:rPr>
        <w:t>K,</w:t>
      </w:r>
      <w:r>
        <w:rPr>
          <w:rFonts w:ascii="Arial" w:hAnsi="Arial"/>
          <w:spacing w:val="18"/>
          <w:sz w:val="16"/>
        </w:rPr>
        <w:t> </w:t>
      </w:r>
      <w:r>
        <w:rPr>
          <w:rFonts w:ascii="Arial" w:hAnsi="Arial"/>
          <w:sz w:val="16"/>
        </w:rPr>
        <w:t>Öztürk</w:t>
      </w:r>
      <w:r>
        <w:rPr>
          <w:rFonts w:ascii="Arial" w:hAnsi="Arial"/>
          <w:spacing w:val="21"/>
          <w:sz w:val="16"/>
        </w:rPr>
        <w:t> </w:t>
      </w:r>
      <w:r>
        <w:rPr>
          <w:rFonts w:ascii="Arial" w:hAnsi="Arial"/>
          <w:sz w:val="16"/>
        </w:rPr>
        <w:t>A</w:t>
      </w:r>
      <w:r>
        <w:rPr>
          <w:rFonts w:ascii="Arial" w:hAnsi="Arial"/>
          <w:spacing w:val="20"/>
          <w:sz w:val="16"/>
        </w:rPr>
        <w:t> </w:t>
      </w:r>
      <w:r>
        <w:rPr>
          <w:rFonts w:ascii="Arial" w:hAnsi="Arial"/>
          <w:sz w:val="16"/>
        </w:rPr>
        <w:t>(2005).</w:t>
      </w:r>
      <w:r>
        <w:rPr>
          <w:rFonts w:ascii="Arial" w:hAnsi="Arial"/>
          <w:spacing w:val="18"/>
          <w:sz w:val="16"/>
        </w:rPr>
        <w:t> </w:t>
      </w:r>
      <w:r>
        <w:rPr>
          <w:rFonts w:ascii="Arial" w:hAnsi="Arial"/>
          <w:sz w:val="16"/>
        </w:rPr>
        <w:t>Artvin</w:t>
      </w:r>
      <w:r>
        <w:rPr>
          <w:rFonts w:ascii="Arial" w:hAnsi="Arial"/>
          <w:spacing w:val="17"/>
          <w:sz w:val="16"/>
        </w:rPr>
        <w:t> </w:t>
      </w:r>
      <w:r>
        <w:rPr>
          <w:rFonts w:ascii="Arial" w:hAnsi="Arial"/>
          <w:sz w:val="16"/>
        </w:rPr>
        <w:t>Orman</w:t>
      </w:r>
      <w:r>
        <w:rPr>
          <w:rFonts w:ascii="Arial" w:hAnsi="Arial"/>
          <w:spacing w:val="17"/>
          <w:sz w:val="16"/>
        </w:rPr>
        <w:t> </w:t>
      </w:r>
      <w:r>
        <w:rPr>
          <w:rFonts w:ascii="Arial" w:hAnsi="Arial"/>
          <w:sz w:val="16"/>
        </w:rPr>
        <w:t>Bölge</w:t>
      </w:r>
      <w:r>
        <w:rPr>
          <w:rFonts w:ascii="Arial" w:hAnsi="Arial"/>
          <w:spacing w:val="17"/>
          <w:sz w:val="16"/>
        </w:rPr>
        <w:t> </w:t>
      </w:r>
      <w:r>
        <w:rPr>
          <w:rFonts w:ascii="Arial" w:hAnsi="Arial"/>
          <w:sz w:val="16"/>
        </w:rPr>
        <w:t>Müdürlüğünde</w:t>
      </w:r>
      <w:r>
        <w:rPr>
          <w:rFonts w:ascii="Arial" w:hAnsi="Arial"/>
          <w:spacing w:val="17"/>
          <w:sz w:val="16"/>
        </w:rPr>
        <w:t> </w:t>
      </w:r>
      <w:r>
        <w:rPr>
          <w:rFonts w:ascii="Arial" w:hAnsi="Arial"/>
          <w:sz w:val="16"/>
        </w:rPr>
        <w:t>Ladin</w:t>
      </w:r>
      <w:r>
        <w:rPr>
          <w:rFonts w:ascii="Arial" w:hAnsi="Arial"/>
          <w:w w:val="99"/>
          <w:sz w:val="16"/>
        </w:rPr>
        <w:t> </w:t>
      </w:r>
      <w:r>
        <w:rPr>
          <w:rFonts w:ascii="Arial" w:hAnsi="Arial"/>
          <w:sz w:val="16"/>
        </w:rPr>
        <w:t>Emvali Pazarlanmasında Karşılaşılan Sorunlar ve Çözüm</w:t>
      </w:r>
      <w:r>
        <w:rPr>
          <w:rFonts w:ascii="Arial" w:hAnsi="Arial"/>
          <w:spacing w:val="16"/>
          <w:sz w:val="16"/>
        </w:rPr>
        <w:t> </w:t>
      </w:r>
      <w:r>
        <w:rPr>
          <w:rFonts w:ascii="Arial" w:hAnsi="Arial"/>
          <w:sz w:val="16"/>
        </w:rPr>
        <w:t>Önerileri,</w:t>
      </w:r>
      <w:r>
        <w:rPr>
          <w:rFonts w:ascii="Arial" w:hAnsi="Arial"/>
          <w:w w:val="99"/>
          <w:sz w:val="16"/>
        </w:rPr>
        <w:t> </w:t>
      </w:r>
      <w:r>
        <w:rPr>
          <w:rFonts w:ascii="Arial" w:hAnsi="Arial"/>
          <w:i/>
          <w:sz w:val="16"/>
        </w:rPr>
        <w:t>Ladin Sempzoyumu</w:t>
      </w:r>
      <w:r>
        <w:rPr>
          <w:rFonts w:ascii="Arial" w:hAnsi="Arial"/>
          <w:sz w:val="16"/>
        </w:rPr>
        <w:t>, 20-</w:t>
      </w:r>
      <w:r>
        <w:rPr>
          <w:rFonts w:ascii="Arial" w:hAnsi="Arial"/>
          <w:sz w:val="16"/>
        </w:rPr>
        <w:t>22 Ekim 2005, Bildiriler Kitabı II. </w:t>
      </w:r>
      <w:r>
        <w:rPr>
          <w:rFonts w:ascii="Arial" w:hAnsi="Arial"/>
          <w:spacing w:val="11"/>
          <w:sz w:val="16"/>
        </w:rPr>
        <w:t> </w:t>
      </w:r>
      <w:r>
        <w:rPr>
          <w:rFonts w:ascii="Arial" w:hAnsi="Arial"/>
          <w:sz w:val="16"/>
        </w:rPr>
        <w:t>Trabzon</w:t>
      </w:r>
      <w:r>
        <w:rPr>
          <w:rFonts w:ascii="Arial" w:hAnsi="Arial"/>
          <w:sz w:val="16"/>
        </w:rPr>
        <w:t>,</w:t>
      </w:r>
      <w:r>
        <w:rPr>
          <w:rFonts w:ascii="Arial" w:hAnsi="Arial"/>
          <w:w w:val="99"/>
          <w:sz w:val="16"/>
        </w:rPr>
        <w:t> </w:t>
      </w:r>
      <w:r>
        <w:rPr>
          <w:rFonts w:ascii="Arial" w:hAnsi="Arial"/>
          <w:sz w:val="16"/>
        </w:rPr>
        <w:t>pp.</w:t>
      </w:r>
      <w:r>
        <w:rPr>
          <w:rFonts w:ascii="Arial" w:hAnsi="Arial"/>
          <w:spacing w:val="-8"/>
          <w:sz w:val="16"/>
        </w:rPr>
        <w:t> </w:t>
      </w:r>
      <w:r>
        <w:rPr>
          <w:rFonts w:ascii="Arial" w:hAnsi="Arial"/>
          <w:sz w:val="16"/>
        </w:rPr>
        <w:t>635-644.</w:t>
      </w:r>
    </w:p>
    <w:p>
      <w:pPr>
        <w:spacing w:before="3"/>
        <w:ind w:left="286" w:right="121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Dobie J, Wright </w:t>
      </w:r>
      <w:r>
        <w:rPr>
          <w:rFonts w:ascii="Arial"/>
          <w:spacing w:val="2"/>
          <w:sz w:val="16"/>
        </w:rPr>
        <w:t>DM </w:t>
      </w:r>
      <w:r>
        <w:rPr>
          <w:rFonts w:ascii="Arial"/>
          <w:sz w:val="16"/>
        </w:rPr>
        <w:t>(1978). Lumber Values From</w:t>
      </w:r>
      <w:r>
        <w:rPr>
          <w:rFonts w:ascii="Arial"/>
          <w:spacing w:val="37"/>
          <w:sz w:val="16"/>
        </w:rPr>
        <w:t> </w:t>
      </w:r>
      <w:r>
        <w:rPr>
          <w:rFonts w:ascii="Arial"/>
          <w:sz w:val="16"/>
        </w:rPr>
        <w:t>Beetle-Killed</w:t>
      </w:r>
      <w:r>
        <w:rPr>
          <w:rFonts w:ascii="Arial"/>
          <w:w w:val="98"/>
          <w:sz w:val="16"/>
        </w:rPr>
        <w:t> </w:t>
      </w:r>
      <w:r>
        <w:rPr>
          <w:rFonts w:ascii="Arial"/>
          <w:sz w:val="16"/>
        </w:rPr>
        <w:t>Lodgepole Pine. For. Prod. J., 28(6):</w:t>
      </w:r>
      <w:r>
        <w:rPr>
          <w:rFonts w:ascii="Arial"/>
          <w:spacing w:val="-14"/>
          <w:sz w:val="16"/>
        </w:rPr>
        <w:t> </w:t>
      </w:r>
      <w:r>
        <w:rPr>
          <w:rFonts w:ascii="Arial"/>
          <w:sz w:val="16"/>
        </w:rPr>
        <w:t>44-47.</w:t>
      </w:r>
    </w:p>
    <w:p>
      <w:pPr>
        <w:spacing w:line="240" w:lineRule="auto" w:before="0"/>
        <w:ind w:left="286" w:right="112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Dunn MA, Dubois MR (1999). Determining economic</w:t>
      </w:r>
      <w:r>
        <w:rPr>
          <w:rFonts w:ascii="Arial"/>
          <w:spacing w:val="6"/>
          <w:sz w:val="16"/>
        </w:rPr>
        <w:t> </w:t>
      </w:r>
      <w:r>
        <w:rPr>
          <w:rFonts w:ascii="Arial"/>
          <w:sz w:val="16"/>
        </w:rPr>
        <w:t>relationships</w:t>
      </w:r>
      <w:r>
        <w:rPr>
          <w:rFonts w:ascii="Arial"/>
          <w:w w:val="98"/>
          <w:sz w:val="16"/>
        </w:rPr>
        <w:t> </w:t>
      </w:r>
      <w:r>
        <w:rPr>
          <w:rFonts w:ascii="Arial"/>
          <w:sz w:val="16"/>
        </w:rPr>
        <w:t>between timber sale notice provisions and high bids received</w:t>
      </w:r>
      <w:r>
        <w:rPr>
          <w:rFonts w:ascii="Arial"/>
          <w:spacing w:val="19"/>
          <w:sz w:val="16"/>
        </w:rPr>
        <w:t> </w:t>
      </w:r>
      <w:r>
        <w:rPr>
          <w:rFonts w:ascii="Arial"/>
          <w:sz w:val="16"/>
        </w:rPr>
        <w:t>on</w:t>
      </w:r>
      <w:r>
        <w:rPr>
          <w:rFonts w:ascii="Arial"/>
          <w:w w:val="98"/>
          <w:sz w:val="16"/>
        </w:rPr>
        <w:t> </w:t>
      </w:r>
      <w:r>
        <w:rPr>
          <w:rFonts w:ascii="Arial"/>
          <w:sz w:val="16"/>
        </w:rPr>
        <w:t>timber offerings from the Alabama Department </w:t>
      </w:r>
      <w:r>
        <w:rPr>
          <w:rFonts w:ascii="Arial"/>
          <w:spacing w:val="-4"/>
          <w:sz w:val="16"/>
        </w:rPr>
        <w:t>of</w:t>
      </w:r>
      <w:r>
        <w:rPr>
          <w:rFonts w:ascii="Arial"/>
          <w:sz w:val="16"/>
        </w:rPr>
        <w:t> Conservation/State</w:t>
      </w:r>
      <w:r>
        <w:rPr>
          <w:rFonts w:ascii="Arial"/>
          <w:w w:val="98"/>
          <w:sz w:val="16"/>
        </w:rPr>
        <w:t> </w:t>
      </w:r>
      <w:r>
        <w:rPr>
          <w:rFonts w:ascii="Arial"/>
          <w:sz w:val="16"/>
        </w:rPr>
        <w:t>Lands Division, Timberlands investments: Improving the</w:t>
      </w:r>
      <w:r>
        <w:rPr>
          <w:rFonts w:ascii="Arial"/>
          <w:spacing w:val="18"/>
          <w:sz w:val="16"/>
        </w:rPr>
        <w:t> </w:t>
      </w:r>
      <w:r>
        <w:rPr>
          <w:rFonts w:ascii="Arial"/>
          <w:sz w:val="16"/>
        </w:rPr>
        <w:t>odds.</w:t>
      </w:r>
      <w:r>
        <w:rPr>
          <w:rFonts w:ascii="Arial"/>
          <w:w w:val="98"/>
          <w:sz w:val="16"/>
        </w:rPr>
        <w:t> </w:t>
      </w:r>
      <w:r>
        <w:rPr>
          <w:rFonts w:ascii="Arial"/>
          <w:sz w:val="16"/>
        </w:rPr>
        <w:t>Proceedings </w:t>
      </w:r>
      <w:r>
        <w:rPr>
          <w:rFonts w:ascii="Arial"/>
          <w:spacing w:val="-4"/>
          <w:sz w:val="16"/>
        </w:rPr>
        <w:t>of </w:t>
      </w:r>
      <w:r>
        <w:rPr>
          <w:rFonts w:ascii="Arial"/>
          <w:sz w:val="16"/>
        </w:rPr>
        <w:t>the 1999 Southern Forest Economics</w:t>
      </w:r>
      <w:r>
        <w:rPr>
          <w:rFonts w:ascii="Arial"/>
          <w:spacing w:val="11"/>
          <w:sz w:val="16"/>
        </w:rPr>
        <w:t> </w:t>
      </w:r>
      <w:r>
        <w:rPr>
          <w:rFonts w:ascii="Arial"/>
          <w:sz w:val="16"/>
        </w:rPr>
        <w:t>Workshop,</w:t>
      </w:r>
      <w:r>
        <w:rPr>
          <w:rFonts w:ascii="Arial"/>
          <w:w w:val="98"/>
          <w:sz w:val="16"/>
        </w:rPr>
        <w:t> </w:t>
      </w:r>
      <w:r>
        <w:rPr>
          <w:rFonts w:ascii="Arial"/>
          <w:sz w:val="16"/>
        </w:rPr>
        <w:t>Mississippi State University, pp.</w:t>
      </w:r>
      <w:r>
        <w:rPr>
          <w:rFonts w:ascii="Arial"/>
          <w:spacing w:val="-21"/>
          <w:sz w:val="16"/>
        </w:rPr>
        <w:t> </w:t>
      </w:r>
      <w:r>
        <w:rPr>
          <w:rFonts w:ascii="Arial"/>
          <w:sz w:val="16"/>
        </w:rPr>
        <w:t>83-90.</w:t>
      </w:r>
    </w:p>
    <w:p>
      <w:pPr>
        <w:spacing w:line="244" w:lineRule="auto" w:before="0"/>
        <w:ind w:left="286" w:right="125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Gujarati DN, Porter DC (2009). Basic Econometrics, McGraw</w:t>
      </w:r>
      <w:r>
        <w:rPr>
          <w:rFonts w:ascii="Arial"/>
          <w:spacing w:val="6"/>
          <w:sz w:val="16"/>
        </w:rPr>
        <w:t> </w:t>
      </w:r>
      <w:r>
        <w:rPr>
          <w:rFonts w:ascii="Arial"/>
          <w:sz w:val="16"/>
        </w:rPr>
        <w:t>Hill</w:t>
      </w:r>
      <w:r>
        <w:rPr>
          <w:rFonts w:ascii="Arial"/>
          <w:w w:val="99"/>
          <w:sz w:val="16"/>
        </w:rPr>
        <w:t> </w:t>
      </w:r>
      <w:r>
        <w:rPr>
          <w:rFonts w:ascii="Arial"/>
          <w:sz w:val="16"/>
        </w:rPr>
        <w:t>International Edition, Singapore. 5th edition, 922</w:t>
      </w:r>
      <w:r>
        <w:rPr>
          <w:rFonts w:ascii="Arial"/>
          <w:spacing w:val="-16"/>
          <w:sz w:val="16"/>
        </w:rPr>
        <w:t> </w:t>
      </w:r>
      <w:r>
        <w:rPr>
          <w:rFonts w:ascii="Arial"/>
          <w:sz w:val="16"/>
        </w:rPr>
        <w:t>p.</w:t>
      </w:r>
    </w:p>
    <w:p>
      <w:pPr>
        <w:spacing w:line="237" w:lineRule="auto" w:before="0"/>
        <w:ind w:left="286" w:right="123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Levi MP, Dietrich RL (1976). Utilization </w:t>
      </w:r>
      <w:r>
        <w:rPr>
          <w:rFonts w:ascii="Arial"/>
          <w:spacing w:val="-4"/>
          <w:sz w:val="16"/>
        </w:rPr>
        <w:t>of </w:t>
      </w:r>
      <w:r>
        <w:rPr>
          <w:rFonts w:ascii="Arial"/>
          <w:sz w:val="16"/>
        </w:rPr>
        <w:t>southern pine</w:t>
      </w:r>
      <w:r>
        <w:rPr>
          <w:rFonts w:ascii="Arial"/>
          <w:spacing w:val="40"/>
          <w:sz w:val="16"/>
        </w:rPr>
        <w:t> </w:t>
      </w:r>
      <w:r>
        <w:rPr>
          <w:rFonts w:ascii="Arial"/>
          <w:sz w:val="16"/>
        </w:rPr>
        <w:t>beetle-killed</w:t>
      </w:r>
      <w:r>
        <w:rPr>
          <w:rFonts w:ascii="Arial"/>
          <w:w w:val="99"/>
          <w:sz w:val="16"/>
        </w:rPr>
        <w:t> </w:t>
      </w:r>
      <w:r>
        <w:rPr>
          <w:rFonts w:ascii="Arial"/>
          <w:sz w:val="16"/>
        </w:rPr>
        <w:t>timber. For. Prod. J., 26(4):</w:t>
      </w:r>
      <w:r>
        <w:rPr>
          <w:rFonts w:ascii="Arial"/>
          <w:spacing w:val="-14"/>
          <w:sz w:val="16"/>
        </w:rPr>
        <w:t> </w:t>
      </w:r>
      <w:r>
        <w:rPr>
          <w:rFonts w:ascii="Arial"/>
          <w:sz w:val="16"/>
        </w:rPr>
        <w:t>42-48.</w:t>
      </w:r>
    </w:p>
    <w:p>
      <w:pPr>
        <w:spacing w:before="3"/>
        <w:ind w:left="286" w:right="114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Lowell</w:t>
      </w:r>
      <w:r>
        <w:rPr>
          <w:rFonts w:ascii="Arial"/>
          <w:spacing w:val="28"/>
          <w:sz w:val="16"/>
        </w:rPr>
        <w:t> </w:t>
      </w:r>
      <w:r>
        <w:rPr>
          <w:rFonts w:ascii="Arial"/>
          <w:sz w:val="16"/>
        </w:rPr>
        <w:t>EC,</w:t>
      </w:r>
      <w:r>
        <w:rPr>
          <w:rFonts w:ascii="Arial"/>
          <w:spacing w:val="28"/>
          <w:sz w:val="16"/>
        </w:rPr>
        <w:t> </w:t>
      </w:r>
      <w:r>
        <w:rPr>
          <w:rFonts w:ascii="Arial"/>
          <w:sz w:val="16"/>
        </w:rPr>
        <w:t>Larry</w:t>
      </w:r>
      <w:r>
        <w:rPr>
          <w:rFonts w:ascii="Arial"/>
          <w:spacing w:val="22"/>
          <w:sz w:val="16"/>
        </w:rPr>
        <w:t> </w:t>
      </w:r>
      <w:r>
        <w:rPr>
          <w:rFonts w:ascii="Arial"/>
          <w:sz w:val="16"/>
        </w:rPr>
        <w:t>DL</w:t>
      </w:r>
      <w:r>
        <w:rPr>
          <w:rFonts w:ascii="Arial"/>
          <w:spacing w:val="30"/>
          <w:sz w:val="16"/>
        </w:rPr>
        <w:t> </w:t>
      </w:r>
      <w:r>
        <w:rPr>
          <w:rFonts w:ascii="Arial"/>
          <w:sz w:val="16"/>
        </w:rPr>
        <w:t>(2007).</w:t>
      </w:r>
      <w:r>
        <w:rPr>
          <w:rFonts w:ascii="Arial"/>
          <w:spacing w:val="28"/>
          <w:sz w:val="16"/>
        </w:rPr>
        <w:t> </w:t>
      </w:r>
      <w:r>
        <w:rPr>
          <w:rFonts w:ascii="Arial"/>
          <w:sz w:val="16"/>
        </w:rPr>
        <w:t>Value</w:t>
      </w:r>
      <w:r>
        <w:rPr>
          <w:rFonts w:ascii="Arial"/>
          <w:spacing w:val="27"/>
          <w:sz w:val="16"/>
        </w:rPr>
        <w:t> </w:t>
      </w:r>
      <w:r>
        <w:rPr>
          <w:rFonts w:ascii="Arial"/>
          <w:sz w:val="16"/>
        </w:rPr>
        <w:t>loss</w:t>
      </w:r>
      <w:r>
        <w:rPr>
          <w:rFonts w:ascii="Arial"/>
          <w:spacing w:val="31"/>
          <w:sz w:val="16"/>
        </w:rPr>
        <w:t> </w:t>
      </w:r>
      <w:r>
        <w:rPr>
          <w:rFonts w:ascii="Arial"/>
          <w:sz w:val="16"/>
        </w:rPr>
        <w:t>in</w:t>
      </w:r>
      <w:r>
        <w:rPr>
          <w:rFonts w:ascii="Arial"/>
          <w:spacing w:val="27"/>
          <w:sz w:val="16"/>
        </w:rPr>
        <w:t> </w:t>
      </w:r>
      <w:r>
        <w:rPr>
          <w:rFonts w:ascii="Arial"/>
          <w:sz w:val="16"/>
        </w:rPr>
        <w:t>ponderosa</w:t>
      </w:r>
      <w:r>
        <w:rPr>
          <w:rFonts w:ascii="Arial"/>
          <w:spacing w:val="23"/>
          <w:sz w:val="16"/>
        </w:rPr>
        <w:t> </w:t>
      </w:r>
      <w:r>
        <w:rPr>
          <w:rFonts w:ascii="Arial"/>
          <w:sz w:val="16"/>
        </w:rPr>
        <w:t>pine</w:t>
      </w:r>
      <w:r>
        <w:rPr>
          <w:rFonts w:ascii="Arial"/>
          <w:spacing w:val="27"/>
          <w:sz w:val="16"/>
        </w:rPr>
        <w:t> </w:t>
      </w:r>
      <w:r>
        <w:rPr>
          <w:rFonts w:ascii="Arial"/>
          <w:sz w:val="16"/>
        </w:rPr>
        <w:t>logs</w:t>
      </w:r>
      <w:r>
        <w:rPr>
          <w:rFonts w:ascii="Arial"/>
          <w:spacing w:val="31"/>
          <w:sz w:val="16"/>
        </w:rPr>
        <w:t> </w:t>
      </w:r>
      <w:r>
        <w:rPr>
          <w:rFonts w:ascii="Arial"/>
          <w:sz w:val="16"/>
        </w:rPr>
        <w:t>from</w:t>
      </w:r>
      <w:r>
        <w:rPr>
          <w:rFonts w:ascii="Arial"/>
          <w:w w:val="98"/>
          <w:sz w:val="16"/>
        </w:rPr>
        <w:t> </w:t>
      </w:r>
      <w:r>
        <w:rPr>
          <w:rFonts w:ascii="Arial"/>
          <w:sz w:val="16"/>
        </w:rPr>
        <w:t>beetle activity following fire in southern Oregon. For. Prod. J.,</w:t>
      </w:r>
      <w:r>
        <w:rPr>
          <w:rFonts w:ascii="Arial"/>
          <w:spacing w:val="-20"/>
          <w:sz w:val="16"/>
        </w:rPr>
        <w:t> </w:t>
      </w:r>
      <w:r>
        <w:rPr>
          <w:rFonts w:ascii="Arial"/>
          <w:sz w:val="16"/>
        </w:rPr>
        <w:t>57(7,8):</w:t>
      </w:r>
      <w:r>
        <w:rPr>
          <w:rFonts w:ascii="Arial"/>
          <w:w w:val="99"/>
          <w:sz w:val="16"/>
        </w:rPr>
        <w:t> </w:t>
      </w:r>
      <w:r>
        <w:rPr>
          <w:rFonts w:ascii="Arial"/>
          <w:sz w:val="16"/>
        </w:rPr>
        <w:t>68-72.</w:t>
      </w:r>
    </w:p>
    <w:p>
      <w:pPr>
        <w:spacing w:before="3"/>
        <w:ind w:left="104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sz w:val="16"/>
        </w:rPr>
        <w:t>Lyytikäinen-Saarenmaa  P,  Niemelä  P,   Annila    E    (2003).  </w:t>
      </w:r>
      <w:r>
        <w:rPr>
          <w:rFonts w:ascii="Arial" w:hAnsi="Arial"/>
          <w:spacing w:val="21"/>
          <w:sz w:val="16"/>
        </w:rPr>
        <w:t> </w:t>
      </w:r>
      <w:r>
        <w:rPr>
          <w:rFonts w:ascii="Arial" w:hAnsi="Arial"/>
          <w:sz w:val="16"/>
        </w:rPr>
        <w:t>Growth</w:t>
      </w:r>
    </w:p>
    <w:p>
      <w:pPr>
        <w:spacing w:after="0"/>
        <w:jc w:val="left"/>
        <w:rPr>
          <w:rFonts w:ascii="Arial" w:hAnsi="Arial" w:cs="Arial" w:eastAsia="Arial"/>
          <w:sz w:val="16"/>
          <w:szCs w:val="16"/>
        </w:rPr>
        <w:sectPr>
          <w:type w:val="continuous"/>
          <w:pgSz w:w="12240" w:h="15840"/>
          <w:pgMar w:top="520" w:bottom="280" w:left="760" w:right="600"/>
          <w:cols w:num="2" w:equalWidth="0">
            <w:col w:w="5224" w:space="322"/>
            <w:col w:w="5334"/>
          </w:cols>
        </w:sectPr>
      </w:pPr>
    </w:p>
    <w:p>
      <w:pPr>
        <w:pStyle w:val="BodyText"/>
        <w:tabs>
          <w:tab w:pos="1582" w:val="left" w:leader="none"/>
        </w:tabs>
        <w:spacing w:line="240" w:lineRule="auto" w:before="51"/>
        <w:ind w:left="0" w:right="109"/>
        <w:jc w:val="right"/>
      </w:pPr>
      <w:r>
        <w:rPr/>
        <w:t>Öztürk </w:t>
      </w:r>
      <w:r>
        <w:rPr>
          <w:spacing w:val="-1"/>
        </w:rPr>
        <w:t>et</w:t>
      </w:r>
      <w:r>
        <w:rPr>
          <w:spacing w:val="9"/>
        </w:rPr>
        <w:t> </w:t>
      </w:r>
      <w:r>
        <w:rPr>
          <w:spacing w:val="-2"/>
        </w:rPr>
        <w:t>al.</w:t>
        <w:tab/>
        <w:t>8557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top="520" w:bottom="280" w:left="760" w:right="600"/>
        </w:sectPr>
      </w:pP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ind w:left="286" w:right="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z w:val="16"/>
          <w:szCs w:val="16"/>
        </w:rPr>
        <w:t>responses and mortality </w:t>
      </w:r>
      <w:r>
        <w:rPr>
          <w:rFonts w:ascii="Arial" w:hAnsi="Arial" w:cs="Arial" w:eastAsia="Arial"/>
          <w:spacing w:val="-4"/>
          <w:sz w:val="16"/>
          <w:szCs w:val="16"/>
        </w:rPr>
        <w:t>of </w:t>
      </w:r>
      <w:r>
        <w:rPr>
          <w:rFonts w:ascii="Arial" w:hAnsi="Arial" w:cs="Arial" w:eastAsia="Arial"/>
          <w:sz w:val="16"/>
          <w:szCs w:val="16"/>
        </w:rPr>
        <w:t>Scots pine (Pinus sylvestris L.) after </w:t>
      </w:r>
      <w:r>
        <w:rPr>
          <w:rFonts w:ascii="Arial" w:hAnsi="Arial" w:cs="Arial" w:eastAsia="Arial"/>
          <w:spacing w:val="14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a</w:t>
      </w:r>
      <w:r>
        <w:rPr>
          <w:rFonts w:ascii="Arial" w:hAnsi="Arial" w:cs="Arial" w:eastAsia="Arial"/>
          <w:w w:val="99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pine sawfly outbreak. In Forest Insect Population Dynamics and</w:t>
      </w:r>
      <w:r>
        <w:rPr>
          <w:rFonts w:ascii="Arial" w:hAnsi="Arial" w:cs="Arial" w:eastAsia="Arial"/>
          <w:spacing w:val="22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Host</w:t>
      </w:r>
      <w:r>
        <w:rPr>
          <w:rFonts w:ascii="Arial" w:hAnsi="Arial" w:cs="Arial" w:eastAsia="Arial"/>
          <w:w w:val="99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Influences, In Proceedings </w:t>
      </w:r>
      <w:r>
        <w:rPr>
          <w:rFonts w:ascii="Arial" w:hAnsi="Arial" w:cs="Arial" w:eastAsia="Arial"/>
          <w:spacing w:val="-4"/>
          <w:sz w:val="16"/>
          <w:szCs w:val="16"/>
        </w:rPr>
        <w:t>of </w:t>
      </w:r>
      <w:r>
        <w:rPr>
          <w:rFonts w:ascii="Arial" w:hAnsi="Arial" w:cs="Arial" w:eastAsia="Arial"/>
          <w:sz w:val="16"/>
          <w:szCs w:val="16"/>
        </w:rPr>
        <w:t>International Symposium </w:t>
      </w:r>
      <w:r>
        <w:rPr>
          <w:rFonts w:ascii="Arial" w:hAnsi="Arial" w:cs="Arial" w:eastAsia="Arial"/>
          <w:spacing w:val="-4"/>
          <w:sz w:val="16"/>
          <w:szCs w:val="16"/>
        </w:rPr>
        <w:t>of</w:t>
      </w:r>
      <w:r>
        <w:rPr>
          <w:rFonts w:ascii="Arial" w:hAnsi="Arial" w:cs="Arial" w:eastAsia="Arial"/>
          <w:spacing w:val="-3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IUFRO,</w:t>
      </w:r>
      <w:r>
        <w:rPr>
          <w:rFonts w:ascii="Arial" w:hAnsi="Arial" w:cs="Arial" w:eastAsia="Arial"/>
          <w:w w:val="99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Kanazawa, Japan, September</w:t>
      </w:r>
      <w:r>
        <w:rPr>
          <w:rFonts w:ascii="Arial" w:hAnsi="Arial" w:cs="Arial" w:eastAsia="Arial"/>
          <w:spacing w:val="-13"/>
          <w:sz w:val="16"/>
          <w:szCs w:val="16"/>
        </w:rPr>
        <w:t> </w:t>
      </w:r>
      <w:r>
        <w:rPr>
          <w:rFonts w:ascii="Arial" w:hAnsi="Arial" w:cs="Arial" w:eastAsia="Arial"/>
          <w:sz w:val="16"/>
          <w:szCs w:val="16"/>
        </w:rPr>
        <w:t>14</w:t>
      </w:r>
      <w:r>
        <w:rPr>
          <w:rFonts w:ascii="Arial" w:hAnsi="Arial" w:cs="Arial" w:eastAsia="Arial"/>
          <w:sz w:val="16"/>
          <w:szCs w:val="16"/>
        </w:rPr>
        <w:t>–</w:t>
      </w:r>
      <w:r>
        <w:rPr>
          <w:rFonts w:ascii="Arial" w:hAnsi="Arial" w:cs="Arial" w:eastAsia="Arial"/>
          <w:sz w:val="16"/>
          <w:szCs w:val="16"/>
        </w:rPr>
        <w:t>19.</w:t>
      </w:r>
    </w:p>
    <w:p>
      <w:pPr>
        <w:spacing w:line="240" w:lineRule="auto" w:before="0"/>
        <w:ind w:left="286" w:right="0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sz w:val="16"/>
        </w:rPr>
        <w:t>Öztürk</w:t>
      </w:r>
      <w:r>
        <w:rPr>
          <w:rFonts w:ascii="Arial" w:hAnsi="Arial"/>
          <w:spacing w:val="26"/>
          <w:sz w:val="16"/>
        </w:rPr>
        <w:t> </w:t>
      </w:r>
      <w:r>
        <w:rPr>
          <w:rFonts w:ascii="Arial" w:hAnsi="Arial"/>
          <w:sz w:val="16"/>
        </w:rPr>
        <w:t>A,</w:t>
      </w:r>
      <w:r>
        <w:rPr>
          <w:rFonts w:ascii="Arial" w:hAnsi="Arial"/>
          <w:spacing w:val="32"/>
          <w:sz w:val="16"/>
        </w:rPr>
        <w:t> </w:t>
      </w:r>
      <w:r>
        <w:rPr>
          <w:rFonts w:ascii="Arial" w:hAnsi="Arial"/>
          <w:sz w:val="16"/>
        </w:rPr>
        <w:t>Kayacan</w:t>
      </w:r>
      <w:r>
        <w:rPr>
          <w:rFonts w:ascii="Arial" w:hAnsi="Arial"/>
          <w:spacing w:val="26"/>
          <w:sz w:val="16"/>
        </w:rPr>
        <w:t> </w:t>
      </w:r>
      <w:r>
        <w:rPr>
          <w:rFonts w:ascii="Arial" w:hAnsi="Arial"/>
          <w:sz w:val="16"/>
        </w:rPr>
        <w:t>B,</w:t>
      </w:r>
      <w:r>
        <w:rPr>
          <w:rFonts w:ascii="Arial" w:hAnsi="Arial"/>
          <w:spacing w:val="27"/>
          <w:sz w:val="16"/>
        </w:rPr>
        <w:t> </w:t>
      </w:r>
      <w:r>
        <w:rPr>
          <w:rFonts w:ascii="Arial" w:hAnsi="Arial"/>
          <w:sz w:val="16"/>
        </w:rPr>
        <w:t>Dikilitaş</w:t>
      </w:r>
      <w:r>
        <w:rPr>
          <w:rFonts w:ascii="Arial" w:hAnsi="Arial"/>
          <w:spacing w:val="30"/>
          <w:sz w:val="16"/>
        </w:rPr>
        <w:t> </w:t>
      </w:r>
      <w:r>
        <w:rPr>
          <w:rFonts w:ascii="Arial" w:hAnsi="Arial"/>
          <w:sz w:val="16"/>
        </w:rPr>
        <w:t>K</w:t>
      </w:r>
      <w:r>
        <w:rPr>
          <w:rFonts w:ascii="Arial" w:hAnsi="Arial"/>
          <w:spacing w:val="28"/>
          <w:sz w:val="16"/>
        </w:rPr>
        <w:t> </w:t>
      </w:r>
      <w:r>
        <w:rPr>
          <w:rFonts w:ascii="Arial" w:hAnsi="Arial"/>
          <w:sz w:val="16"/>
        </w:rPr>
        <w:t>(2008).</w:t>
      </w:r>
      <w:r>
        <w:rPr>
          <w:rFonts w:ascii="Arial" w:hAnsi="Arial"/>
          <w:spacing w:val="27"/>
          <w:sz w:val="16"/>
        </w:rPr>
        <w:t> </w:t>
      </w:r>
      <w:r>
        <w:rPr>
          <w:rFonts w:ascii="Arial" w:hAnsi="Arial"/>
          <w:sz w:val="16"/>
        </w:rPr>
        <w:t>Kabuk</w:t>
      </w:r>
      <w:r>
        <w:rPr>
          <w:rFonts w:ascii="Arial" w:hAnsi="Arial"/>
          <w:spacing w:val="26"/>
          <w:sz w:val="16"/>
        </w:rPr>
        <w:t> </w:t>
      </w:r>
      <w:r>
        <w:rPr>
          <w:rFonts w:ascii="Arial" w:hAnsi="Arial"/>
          <w:sz w:val="16"/>
        </w:rPr>
        <w:t>Böceklerinin</w:t>
      </w:r>
      <w:r>
        <w:rPr>
          <w:rFonts w:ascii="Arial" w:hAnsi="Arial"/>
          <w:spacing w:val="26"/>
          <w:sz w:val="16"/>
        </w:rPr>
        <w:t> </w:t>
      </w:r>
      <w:r>
        <w:rPr>
          <w:rFonts w:ascii="Arial" w:hAnsi="Arial"/>
          <w:sz w:val="16"/>
        </w:rPr>
        <w:t>Tomruk</w:t>
      </w:r>
      <w:r>
        <w:rPr>
          <w:rFonts w:ascii="Arial" w:hAnsi="Arial"/>
          <w:w w:val="98"/>
          <w:sz w:val="16"/>
        </w:rPr>
        <w:t> </w:t>
      </w:r>
      <w:r>
        <w:rPr>
          <w:rFonts w:ascii="Arial" w:hAnsi="Arial"/>
          <w:sz w:val="16"/>
        </w:rPr>
        <w:t>Sat</w:t>
      </w:r>
      <w:r>
        <w:rPr>
          <w:rFonts w:ascii="Arial" w:hAnsi="Arial"/>
          <w:sz w:val="16"/>
        </w:rPr>
        <w:t>ışları Üzerine Etkisi: Artvin Orman Bölge Müdürlüğünde Bir</w:t>
      </w:r>
      <w:r>
        <w:rPr>
          <w:rFonts w:ascii="Arial" w:hAnsi="Arial"/>
          <w:spacing w:val="20"/>
          <w:sz w:val="16"/>
        </w:rPr>
        <w:t> </w:t>
      </w:r>
      <w:r>
        <w:rPr>
          <w:rFonts w:ascii="Arial" w:hAnsi="Arial"/>
          <w:spacing w:val="3"/>
          <w:sz w:val="16"/>
        </w:rPr>
        <w:t>Ön</w:t>
      </w:r>
      <w:r>
        <w:rPr>
          <w:rFonts w:ascii="Arial" w:hAnsi="Arial"/>
          <w:w w:val="99"/>
          <w:sz w:val="16"/>
        </w:rPr>
        <w:t> </w:t>
      </w:r>
      <w:r>
        <w:rPr>
          <w:rFonts w:ascii="Arial" w:hAnsi="Arial"/>
          <w:sz w:val="16"/>
        </w:rPr>
        <w:t>Araştırma, Doğu Akdeniz Ormancılık Araştırma Müdürlüğü. </w:t>
      </w:r>
      <w:r>
        <w:rPr>
          <w:rFonts w:ascii="Arial" w:hAnsi="Arial"/>
          <w:sz w:val="16"/>
        </w:rPr>
        <w:t>J.</w:t>
      </w:r>
      <w:r>
        <w:rPr>
          <w:rFonts w:ascii="Arial" w:hAnsi="Arial"/>
          <w:spacing w:val="38"/>
          <w:sz w:val="16"/>
        </w:rPr>
        <w:t> </w:t>
      </w:r>
      <w:r>
        <w:rPr>
          <w:rFonts w:ascii="Arial" w:hAnsi="Arial"/>
          <w:sz w:val="16"/>
        </w:rPr>
        <w:t>DOA,</w:t>
      </w:r>
      <w:r>
        <w:rPr>
          <w:rFonts w:ascii="Arial" w:hAnsi="Arial"/>
          <w:w w:val="99"/>
          <w:sz w:val="16"/>
        </w:rPr>
        <w:t> </w:t>
      </w:r>
      <w:r>
        <w:rPr>
          <w:rFonts w:ascii="Arial" w:hAnsi="Arial"/>
          <w:sz w:val="16"/>
        </w:rPr>
        <w:t>14:</w:t>
      </w:r>
      <w:r>
        <w:rPr>
          <w:rFonts w:ascii="Arial" w:hAnsi="Arial"/>
          <w:spacing w:val="-9"/>
          <w:sz w:val="16"/>
        </w:rPr>
        <w:t> </w:t>
      </w:r>
      <w:r>
        <w:rPr>
          <w:rFonts w:ascii="Arial" w:hAnsi="Arial"/>
          <w:sz w:val="16"/>
        </w:rPr>
        <w:t>119-130.</w:t>
      </w: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  <w:r>
        <w:rPr/>
        <w:br w:type="column"/>
      </w:r>
      <w:r>
        <w:rPr>
          <w:rFonts w:ascii="Arial"/>
          <w:sz w:val="20"/>
        </w:rPr>
      </w:r>
    </w:p>
    <w:p>
      <w:pPr>
        <w:spacing w:line="240" w:lineRule="auto" w:before="0"/>
        <w:ind w:left="286" w:right="114" w:hanging="18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Sendak PE (1991). Timber Sale Value </w:t>
      </w:r>
      <w:r>
        <w:rPr>
          <w:rFonts w:ascii="Arial"/>
          <w:spacing w:val="-4"/>
          <w:sz w:val="16"/>
        </w:rPr>
        <w:t>as </w:t>
      </w:r>
      <w:r>
        <w:rPr>
          <w:rFonts w:ascii="Arial"/>
          <w:sz w:val="16"/>
        </w:rPr>
        <w:t>a Function </w:t>
      </w:r>
      <w:r>
        <w:rPr>
          <w:rFonts w:ascii="Arial"/>
          <w:spacing w:val="-4"/>
          <w:sz w:val="16"/>
        </w:rPr>
        <w:t>of</w:t>
      </w:r>
      <w:r>
        <w:rPr>
          <w:rFonts w:ascii="Arial"/>
          <w:spacing w:val="22"/>
          <w:sz w:val="16"/>
        </w:rPr>
        <w:t> </w:t>
      </w:r>
      <w:r>
        <w:rPr>
          <w:rFonts w:ascii="Arial"/>
          <w:sz w:val="16"/>
        </w:rPr>
        <w:t>Sale</w:t>
      </w:r>
      <w:r>
        <w:rPr>
          <w:rFonts w:ascii="Arial"/>
          <w:w w:val="99"/>
          <w:sz w:val="16"/>
        </w:rPr>
        <w:t> </w:t>
      </w:r>
      <w:r>
        <w:rPr>
          <w:rFonts w:ascii="Arial"/>
          <w:sz w:val="16"/>
        </w:rPr>
        <w:t>Characteristics and Number </w:t>
      </w:r>
      <w:r>
        <w:rPr>
          <w:rFonts w:ascii="Arial"/>
          <w:spacing w:val="-4"/>
          <w:sz w:val="16"/>
        </w:rPr>
        <w:t>of </w:t>
      </w:r>
      <w:r>
        <w:rPr>
          <w:rFonts w:ascii="Arial"/>
          <w:sz w:val="16"/>
        </w:rPr>
        <w:t>Bidders, Res. Pap. </w:t>
      </w:r>
      <w:r>
        <w:rPr>
          <w:rFonts w:ascii="Arial"/>
          <w:spacing w:val="2"/>
          <w:sz w:val="16"/>
        </w:rPr>
        <w:t>NE-657.</w:t>
      </w:r>
      <w:r>
        <w:rPr>
          <w:rFonts w:ascii="Arial"/>
          <w:spacing w:val="37"/>
          <w:sz w:val="16"/>
        </w:rPr>
        <w:t> </w:t>
      </w:r>
      <w:r>
        <w:rPr>
          <w:rFonts w:ascii="Arial"/>
          <w:sz w:val="16"/>
        </w:rPr>
        <w:t>Radnor,</w:t>
      </w:r>
      <w:r>
        <w:rPr>
          <w:rFonts w:ascii="Arial"/>
          <w:w w:val="99"/>
          <w:sz w:val="16"/>
        </w:rPr>
        <w:t> </w:t>
      </w:r>
      <w:r>
        <w:rPr>
          <w:rFonts w:ascii="Arial"/>
          <w:sz w:val="16"/>
        </w:rPr>
        <w:t>PA:U.S: Department </w:t>
      </w:r>
      <w:r>
        <w:rPr>
          <w:rFonts w:ascii="Arial"/>
          <w:spacing w:val="-4"/>
          <w:sz w:val="16"/>
        </w:rPr>
        <w:t>of </w:t>
      </w:r>
      <w:r>
        <w:rPr>
          <w:rFonts w:ascii="Arial"/>
          <w:sz w:val="16"/>
        </w:rPr>
        <w:t>Agriculture, Forest Service,</w:t>
      </w:r>
      <w:r>
        <w:rPr>
          <w:rFonts w:ascii="Arial"/>
          <w:spacing w:val="41"/>
          <w:sz w:val="16"/>
        </w:rPr>
        <w:t> </w:t>
      </w:r>
      <w:r>
        <w:rPr>
          <w:rFonts w:ascii="Arial"/>
          <w:sz w:val="16"/>
        </w:rPr>
        <w:t>Northeastern</w:t>
      </w:r>
      <w:r>
        <w:rPr>
          <w:rFonts w:ascii="Arial"/>
          <w:w w:val="99"/>
          <w:sz w:val="16"/>
        </w:rPr>
        <w:t> </w:t>
      </w:r>
      <w:r>
        <w:rPr>
          <w:rFonts w:ascii="Arial"/>
          <w:sz w:val="16"/>
        </w:rPr>
        <w:t>Forest Expirement Station, p.</w:t>
      </w:r>
      <w:r>
        <w:rPr>
          <w:rFonts w:ascii="Arial"/>
          <w:spacing w:val="-11"/>
          <w:sz w:val="16"/>
        </w:rPr>
        <w:t> </w:t>
      </w:r>
      <w:r>
        <w:rPr>
          <w:rFonts w:ascii="Arial"/>
          <w:sz w:val="16"/>
        </w:rPr>
        <w:t>7.</w:t>
      </w:r>
    </w:p>
    <w:sectPr>
      <w:type w:val="continuous"/>
      <w:pgSz w:w="12240" w:h="15840"/>
      <w:pgMar w:top="520" w:bottom="280" w:left="760" w:right="600"/>
      <w:cols w:num="2" w:equalWidth="0">
        <w:col w:w="5220" w:space="326"/>
        <w:col w:w="53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4"/>
    </w:pPr>
    <w:rPr>
      <w:rFonts w:ascii="Arial" w:hAnsi="Arial" w:eastAsia="Arial"/>
      <w:sz w:val="20"/>
      <w:szCs w:val="20"/>
    </w:rPr>
  </w:style>
  <w:style w:styleId="Heading1" w:type="paragraph">
    <w:name w:val="Heading 1"/>
    <w:basedOn w:val="Normal"/>
    <w:uiPriority w:val="1"/>
    <w:qFormat/>
    <w:pPr>
      <w:ind w:left="104"/>
      <w:outlineLvl w:val="1"/>
    </w:pPr>
    <w:rPr>
      <w:rFonts w:ascii="Arial" w:hAnsi="Arial" w:eastAsia="Arial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academicjournals.org/AJBM" TargetMode="External"/><Relationship Id="rId6" Type="http://schemas.openxmlformats.org/officeDocument/2006/relationships/hyperlink" Target="mailto:atak08@hotmail.com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BKAYACAN</dc:creator>
  <dc:title>A LINEAR PRICE MODEL FOR INSECT-DAMAGED INDUSTRIAL ROUNDWOOD:</dc:title>
  <dcterms:created xsi:type="dcterms:W3CDTF">2015-04-13T13:57:02Z</dcterms:created>
  <dcterms:modified xsi:type="dcterms:W3CDTF">2015-04-13T13:57:02Z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2015-04-13T00:00:00Z</vt:filetime>
  </property>
</Properties>
</file>